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53F5" w14:textId="0EC68755" w:rsidR="00B5197F" w:rsidRPr="00BE42BD" w:rsidRDefault="00B5197F" w:rsidP="00B5197F">
      <w:pPr>
        <w:rPr>
          <w:b/>
          <w:sz w:val="20"/>
          <w:szCs w:val="20"/>
          <w:lang w:val="fr-FR"/>
        </w:rPr>
      </w:pPr>
      <w:r w:rsidRPr="00BE42BD">
        <w:rPr>
          <w:b/>
          <w:sz w:val="20"/>
          <w:szCs w:val="20"/>
          <w:lang w:val="fr-FR"/>
        </w:rPr>
        <w:t xml:space="preserve">Thème IO2 : « Comment donner aux citoyens les moyens de participer à la vie publique de leur communauté » </w:t>
      </w:r>
    </w:p>
    <w:p w14:paraId="07DDD4C5" w14:textId="5EAF8678" w:rsidR="00B5197F" w:rsidRPr="00BE42BD" w:rsidRDefault="00B5197F" w:rsidP="00B5197F">
      <w:pPr>
        <w:rPr>
          <w:b/>
          <w:sz w:val="20"/>
          <w:szCs w:val="20"/>
          <w:lang w:val="fr-FR"/>
        </w:rPr>
      </w:pPr>
      <w:r w:rsidRPr="00BE42BD">
        <w:rPr>
          <w:b/>
          <w:sz w:val="20"/>
          <w:szCs w:val="20"/>
          <w:lang w:val="fr-FR"/>
        </w:rPr>
        <w:t>Organisation : ALDA – Association Européenne pour la Démocratie Locale</w:t>
      </w:r>
    </w:p>
    <w:p w14:paraId="4F509E79" w14:textId="6C057F04" w:rsidR="00613C3F" w:rsidRPr="00BE42BD" w:rsidRDefault="00B5197F">
      <w:pPr>
        <w:pStyle w:val="Heading1"/>
        <w:rPr>
          <w:rFonts w:cs="Arial"/>
          <w:sz w:val="20"/>
          <w:szCs w:val="20"/>
        </w:rPr>
      </w:pPr>
      <w:r w:rsidRPr="00BE42BD">
        <w:rPr>
          <w:rFonts w:cs="Arial"/>
          <w:sz w:val="20"/>
          <w:szCs w:val="20"/>
        </w:rPr>
        <w:t xml:space="preserve">Plan de </w:t>
      </w:r>
      <w:proofErr w:type="spellStart"/>
      <w:r w:rsidRPr="00BE42BD">
        <w:rPr>
          <w:rFonts w:cs="Arial"/>
          <w:sz w:val="20"/>
          <w:szCs w:val="20"/>
        </w:rPr>
        <w:t>leçon</w:t>
      </w:r>
      <w:proofErr w:type="spellEnd"/>
    </w:p>
    <w:tbl>
      <w:tblPr>
        <w:tblStyle w:val="a"/>
        <w:tblW w:w="138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8"/>
        <w:gridCol w:w="12049"/>
      </w:tblGrid>
      <w:tr w:rsidR="00613C3F" w:rsidRPr="00C41E7B" w14:paraId="17DB9863" w14:textId="77777777" w:rsidTr="00613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2DC74C0" w14:textId="4ACA17C3" w:rsidR="00613C3F" w:rsidRPr="00BE42BD" w:rsidRDefault="00316823">
            <w:pPr>
              <w:rPr>
                <w:sz w:val="20"/>
                <w:szCs w:val="20"/>
              </w:rPr>
            </w:pPr>
            <w:r w:rsidRPr="00BE42BD">
              <w:rPr>
                <w:sz w:val="20"/>
                <w:szCs w:val="20"/>
              </w:rPr>
              <w:t xml:space="preserve">Titre </w:t>
            </w:r>
          </w:p>
        </w:tc>
        <w:tc>
          <w:tcPr>
            <w:tcW w:w="12049" w:type="dxa"/>
          </w:tcPr>
          <w:p w14:paraId="3E77E010" w14:textId="1FD93458" w:rsidR="00613C3F" w:rsidRPr="00BE42BD" w:rsidRDefault="00B5197F">
            <w:pPr>
              <w:cnfStyle w:val="100000000000" w:firstRow="1"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CITOYENS/ PARTICIPATION CIVIQUE et DÉMOCRATIQUE</w:t>
            </w:r>
          </w:p>
        </w:tc>
      </w:tr>
      <w:tr w:rsidR="00613C3F" w:rsidRPr="00C41E7B" w14:paraId="654C3C3E" w14:textId="77777777" w:rsidTr="0061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71C7E2" w14:textId="366DF227" w:rsidR="00613C3F" w:rsidRPr="00BE42BD" w:rsidRDefault="00B5197F">
            <w:pPr>
              <w:rPr>
                <w:sz w:val="20"/>
                <w:szCs w:val="20"/>
                <w:lang w:val="fr-FR"/>
              </w:rPr>
            </w:pPr>
            <w:r w:rsidRPr="00BE42BD">
              <w:rPr>
                <w:sz w:val="20"/>
                <w:szCs w:val="20"/>
                <w:lang w:val="fr-FR"/>
              </w:rPr>
              <w:t>Lien vers IO1</w:t>
            </w:r>
          </w:p>
        </w:tc>
        <w:tc>
          <w:tcPr>
            <w:tcW w:w="12049" w:type="dxa"/>
          </w:tcPr>
          <w:p w14:paraId="68686CD8" w14:textId="62B16657" w:rsidR="00B5197F" w:rsidRPr="00BE42BD" w:rsidRDefault="00B5197F" w:rsidP="00B5197F">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 xml:space="preserve">IO1 = </w:t>
            </w:r>
            <w:r w:rsidR="00C41E7B">
              <w:rPr>
                <w:sz w:val="20"/>
                <w:szCs w:val="20"/>
                <w:lang w:val="fr-FR"/>
              </w:rPr>
              <w:t>le</w:t>
            </w:r>
            <w:r w:rsidRPr="00BE42BD">
              <w:rPr>
                <w:sz w:val="20"/>
                <w:szCs w:val="20"/>
                <w:lang w:val="fr-FR"/>
              </w:rPr>
              <w:t xml:space="preserve"> besoin d’une analyse des collectivités et des intervenants en matière de développement et d’engagement communautaires. L’objectif de IO1 était, pour les partenaires, de partager leurs connaissances et leur expertise sur le terrain avec les communautés au moyen d’enquêtes, d’entrevues et de groupes de discussion. Les conclusions du rapport d’analyse PIECE, formalisé par tous les partenaires, </w:t>
            </w:r>
            <w:r w:rsidR="0098489C">
              <w:rPr>
                <w:sz w:val="20"/>
                <w:szCs w:val="20"/>
                <w:lang w:val="fr-FR"/>
              </w:rPr>
              <w:t>soulignent</w:t>
            </w:r>
            <w:r w:rsidRPr="00BE42BD">
              <w:rPr>
                <w:sz w:val="20"/>
                <w:szCs w:val="20"/>
                <w:lang w:val="fr-FR"/>
              </w:rPr>
              <w:t xml:space="preserve"> comment les travailleurs communautaires bénéficieraient de cette expérience de formation pour améliorer leur formation et améliorer leurs compétences afin de mieux répondre aux besoins des communautés en Europe.</w:t>
            </w:r>
          </w:p>
          <w:p w14:paraId="0CEC6E32" w14:textId="4AB00740" w:rsidR="00613C3F" w:rsidRPr="00BE42BD" w:rsidRDefault="00B5197F" w:rsidP="00B5197F">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Pour ces raisons, le consortium et les recherches effectuées ont estimé qu’il serait bénéfique pour les travailleurs communautaires de disposer d</w:t>
            </w:r>
            <w:r w:rsidR="0098489C">
              <w:rPr>
                <w:sz w:val="20"/>
                <w:szCs w:val="20"/>
                <w:lang w:val="fr-FR"/>
              </w:rPr>
              <w:t>u</w:t>
            </w:r>
            <w:r w:rsidRPr="00BE42BD">
              <w:rPr>
                <w:sz w:val="20"/>
                <w:szCs w:val="20"/>
                <w:lang w:val="fr-FR"/>
              </w:rPr>
              <w:t xml:space="preserve"> matériel de formation </w:t>
            </w:r>
            <w:r w:rsidR="0098489C">
              <w:rPr>
                <w:sz w:val="20"/>
                <w:szCs w:val="20"/>
                <w:lang w:val="fr-FR"/>
              </w:rPr>
              <w:t xml:space="preserve">sur </w:t>
            </w:r>
            <w:r w:rsidRPr="00BE42BD">
              <w:rPr>
                <w:sz w:val="20"/>
                <w:szCs w:val="20"/>
                <w:lang w:val="fr-FR"/>
              </w:rPr>
              <w:t>« comment donner aux citoyens les moyens de participer à la vie publique de leur communauté. »</w:t>
            </w:r>
          </w:p>
        </w:tc>
      </w:tr>
      <w:tr w:rsidR="00613C3F" w:rsidRPr="00C41E7B" w14:paraId="6D4AF71A" w14:textId="77777777" w:rsidTr="00613C3F">
        <w:tc>
          <w:tcPr>
            <w:cnfStyle w:val="001000000000" w:firstRow="0" w:lastRow="0" w:firstColumn="1" w:lastColumn="0" w:oddVBand="0" w:evenVBand="0" w:oddHBand="0" w:evenHBand="0" w:firstRowFirstColumn="0" w:firstRowLastColumn="0" w:lastRowFirstColumn="0" w:lastRowLastColumn="0"/>
            <w:tcW w:w="1838" w:type="dxa"/>
          </w:tcPr>
          <w:p w14:paraId="38B00CB0" w14:textId="3D23A023" w:rsidR="00613C3F" w:rsidRPr="00BE42BD" w:rsidRDefault="00B5197F">
            <w:pPr>
              <w:rPr>
                <w:sz w:val="20"/>
                <w:szCs w:val="20"/>
                <w:lang w:val="fr-FR"/>
              </w:rPr>
            </w:pPr>
            <w:r w:rsidRPr="00BE42BD">
              <w:rPr>
                <w:sz w:val="20"/>
                <w:szCs w:val="20"/>
                <w:lang w:val="fr-FR"/>
              </w:rPr>
              <w:t>Résultats</w:t>
            </w:r>
          </w:p>
        </w:tc>
        <w:tc>
          <w:tcPr>
            <w:tcW w:w="12049" w:type="dxa"/>
          </w:tcPr>
          <w:p w14:paraId="7D28A3CE" w14:textId="6E35D478" w:rsidR="00B5197F" w:rsidRPr="00BE42BD" w:rsidRDefault="00B5197F" w:rsidP="00B519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Apprendre du matériel académique et didactique pour comprendre les notions fondamentales et spécifiques de création et d' application des méthodes de processus participatifs ;</w:t>
            </w:r>
          </w:p>
          <w:p w14:paraId="1B211751" w14:textId="42D0492C" w:rsidR="00B5197F" w:rsidRPr="00BE42BD" w:rsidRDefault="00B5197F" w:rsidP="00B519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 xml:space="preserve">Connaissance d’exemples </w:t>
            </w:r>
            <w:r w:rsidRPr="00C41E7B">
              <w:rPr>
                <w:sz w:val="20"/>
                <w:szCs w:val="20"/>
                <w:bdr w:val="single" w:sz="4" w:space="0" w:color="auto"/>
                <w:lang w:val="fr-FR"/>
              </w:rPr>
              <w:t>concrets</w:t>
            </w:r>
            <w:r w:rsidRPr="00BE42BD">
              <w:rPr>
                <w:sz w:val="20"/>
                <w:szCs w:val="20"/>
                <w:lang w:val="fr-FR"/>
              </w:rPr>
              <w:t xml:space="preserve"> d’application de méthodes participatives par la citoyenneté active dans leurs communautés ;</w:t>
            </w:r>
          </w:p>
          <w:p w14:paraId="3CBB0210" w14:textId="586F73D8" w:rsidR="00613C3F" w:rsidRPr="00BE42BD" w:rsidRDefault="00B5197F" w:rsidP="00B519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 xml:space="preserve">Concrètement et conseils sur l’efficacité et l’efficience des méthodes participatives d’implication de la population dans les processus décisionnels et de </w:t>
            </w:r>
            <w:proofErr w:type="spellStart"/>
            <w:r w:rsidRPr="00BE42BD">
              <w:rPr>
                <w:sz w:val="20"/>
                <w:szCs w:val="20"/>
                <w:lang w:val="fr-FR"/>
              </w:rPr>
              <w:t>co-participation</w:t>
            </w:r>
            <w:proofErr w:type="spellEnd"/>
            <w:r w:rsidRPr="00BE42BD">
              <w:rPr>
                <w:sz w:val="20"/>
                <w:szCs w:val="20"/>
                <w:lang w:val="fr-FR"/>
              </w:rPr>
              <w:t xml:space="preserve"> aux activités de la communauté locale.</w:t>
            </w:r>
          </w:p>
        </w:tc>
      </w:tr>
      <w:tr w:rsidR="00613C3F" w:rsidRPr="00C41E7B" w14:paraId="3430ED0B" w14:textId="77777777" w:rsidTr="0061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FF691BC" w14:textId="02783FDB" w:rsidR="00613C3F" w:rsidRPr="00BE42BD" w:rsidRDefault="00B5197F">
            <w:pPr>
              <w:rPr>
                <w:sz w:val="20"/>
                <w:szCs w:val="20"/>
                <w:lang w:val="fr-FR"/>
              </w:rPr>
            </w:pPr>
            <w:r w:rsidRPr="00BE42BD">
              <w:rPr>
                <w:sz w:val="20"/>
                <w:szCs w:val="20"/>
                <w:lang w:val="fr-FR"/>
              </w:rPr>
              <w:t>Apprentissage</w:t>
            </w:r>
          </w:p>
        </w:tc>
        <w:tc>
          <w:tcPr>
            <w:tcW w:w="12049" w:type="dxa"/>
          </w:tcPr>
          <w:p w14:paraId="6141CBB6" w14:textId="27245CC8" w:rsidR="00613C3F" w:rsidRPr="00BE42BD" w:rsidRDefault="00B5197F">
            <w:pPr>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Promotion de la bonne gouvernance, de la citoyenneté active et de la coopération entre les autorités locales et la société civile. Découverte et mise en œuvre de méthodes de processus participatifs sur les initiatives citoyennes et le volontariat, les droits de l’homme, l’inclusion sociale et le développement économique durable. Étude approfondie d’une étude de cas spécifique comme exemple d’application des notions apprises pour la référence future.</w:t>
            </w:r>
          </w:p>
        </w:tc>
      </w:tr>
      <w:tr w:rsidR="00613C3F" w:rsidRPr="00C41E7B" w14:paraId="354AE482" w14:textId="77777777" w:rsidTr="00613C3F">
        <w:tc>
          <w:tcPr>
            <w:cnfStyle w:val="001000000000" w:firstRow="0" w:lastRow="0" w:firstColumn="1" w:lastColumn="0" w:oddVBand="0" w:evenVBand="0" w:oddHBand="0" w:evenHBand="0" w:firstRowFirstColumn="0" w:firstRowLastColumn="0" w:lastRowFirstColumn="0" w:lastRowLastColumn="0"/>
            <w:tcW w:w="1838" w:type="dxa"/>
          </w:tcPr>
          <w:p w14:paraId="5402965D" w14:textId="16AD1E8F" w:rsidR="00613C3F" w:rsidRPr="00BE42BD" w:rsidRDefault="006208A2">
            <w:pPr>
              <w:rPr>
                <w:sz w:val="20"/>
                <w:szCs w:val="20"/>
                <w:lang w:val="fr-FR"/>
              </w:rPr>
            </w:pPr>
            <w:r w:rsidRPr="00BE42BD">
              <w:rPr>
                <w:sz w:val="20"/>
                <w:szCs w:val="20"/>
                <w:lang w:val="fr-FR"/>
              </w:rPr>
              <w:t>Thèmes</w:t>
            </w:r>
          </w:p>
        </w:tc>
        <w:tc>
          <w:tcPr>
            <w:tcW w:w="12049" w:type="dxa"/>
          </w:tcPr>
          <w:p w14:paraId="024F3FB0" w14:textId="2871364D" w:rsidR="00613C3F" w:rsidRPr="00BE42BD" w:rsidRDefault="006208A2">
            <w:pPr>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Participation citoyenne, processus et méthodes participatifs en théorie et en pratique</w:t>
            </w:r>
          </w:p>
        </w:tc>
      </w:tr>
      <w:tr w:rsidR="00613C3F" w:rsidRPr="00C41E7B" w14:paraId="11676308" w14:textId="77777777" w:rsidTr="0061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52D1118" w14:textId="1A481744" w:rsidR="00613C3F" w:rsidRPr="00BE42BD" w:rsidRDefault="006208A2">
            <w:pPr>
              <w:rPr>
                <w:sz w:val="20"/>
                <w:szCs w:val="20"/>
                <w:lang w:val="fr-FR"/>
              </w:rPr>
            </w:pPr>
            <w:r w:rsidRPr="00BE42BD">
              <w:rPr>
                <w:sz w:val="20"/>
                <w:szCs w:val="20"/>
                <w:lang w:val="fr-FR"/>
              </w:rPr>
              <w:t>Compétences couvertes</w:t>
            </w:r>
          </w:p>
        </w:tc>
        <w:tc>
          <w:tcPr>
            <w:tcW w:w="12049" w:type="dxa"/>
          </w:tcPr>
          <w:p w14:paraId="2D508C8A" w14:textId="15558CBE" w:rsidR="006208A2" w:rsidRPr="00BE42BD" w:rsidRDefault="006208A2" w:rsidP="006208A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le travail en collaboration;</w:t>
            </w:r>
          </w:p>
          <w:p w14:paraId="062C627A" w14:textId="64CD2CE3" w:rsidR="006208A2" w:rsidRPr="00BE42BD" w:rsidRDefault="006208A2" w:rsidP="006208A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l’établissement d’objectifs/l’orientation vers la réalisation;</w:t>
            </w:r>
          </w:p>
          <w:p w14:paraId="6FCA9BB6" w14:textId="780427D0" w:rsidR="006208A2" w:rsidRPr="00BE42BD" w:rsidRDefault="006208A2" w:rsidP="006208A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la résolution des problèmes;</w:t>
            </w:r>
          </w:p>
          <w:p w14:paraId="302AC299" w14:textId="77777777" w:rsidR="006208A2" w:rsidRPr="00BE42BD" w:rsidRDefault="006208A2" w:rsidP="006208A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analyse des domaines prioritaires;</w:t>
            </w:r>
          </w:p>
          <w:p w14:paraId="522D830E" w14:textId="77777777" w:rsidR="00A90AC7" w:rsidRPr="00BE42BD" w:rsidRDefault="006208A2" w:rsidP="006208A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l’autonomisation des participants grâce au leadership et aux compétences;</w:t>
            </w:r>
          </w:p>
          <w:p w14:paraId="37674FA6" w14:textId="64EF7A23" w:rsidR="00613C3F" w:rsidRPr="00BE42BD" w:rsidRDefault="006208A2" w:rsidP="006208A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l’état d’avancement du travail accompli</w:t>
            </w:r>
          </w:p>
        </w:tc>
      </w:tr>
      <w:tr w:rsidR="00613C3F" w:rsidRPr="00C41E7B" w14:paraId="6EB7F9F2" w14:textId="77777777" w:rsidTr="00613C3F">
        <w:tc>
          <w:tcPr>
            <w:cnfStyle w:val="001000000000" w:firstRow="0" w:lastRow="0" w:firstColumn="1" w:lastColumn="0" w:oddVBand="0" w:evenVBand="0" w:oddHBand="0" w:evenHBand="0" w:firstRowFirstColumn="0" w:firstRowLastColumn="0" w:lastRowFirstColumn="0" w:lastRowLastColumn="0"/>
            <w:tcW w:w="1838" w:type="dxa"/>
          </w:tcPr>
          <w:p w14:paraId="464EE792" w14:textId="2FEBDB79" w:rsidR="00613C3F" w:rsidRPr="00BE42BD" w:rsidRDefault="00A90AC7">
            <w:pPr>
              <w:rPr>
                <w:sz w:val="20"/>
                <w:szCs w:val="20"/>
                <w:lang w:val="fr-FR"/>
              </w:rPr>
            </w:pPr>
            <w:r w:rsidRPr="00BE42BD">
              <w:rPr>
                <w:sz w:val="20"/>
                <w:szCs w:val="20"/>
                <w:lang w:val="fr-FR"/>
              </w:rPr>
              <w:t>Longueur</w:t>
            </w:r>
          </w:p>
        </w:tc>
        <w:tc>
          <w:tcPr>
            <w:tcW w:w="12049" w:type="dxa"/>
          </w:tcPr>
          <w:p w14:paraId="5C16B8AF" w14:textId="40CB58DF" w:rsidR="00613C3F" w:rsidRPr="00BE42BD" w:rsidRDefault="00A90AC7" w:rsidP="00A90AC7">
            <w:pPr>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3h30 cours et activités pratiques.</w:t>
            </w:r>
          </w:p>
        </w:tc>
      </w:tr>
      <w:tr w:rsidR="00613C3F" w:rsidRPr="00C41E7B" w14:paraId="1C565BD3" w14:textId="77777777" w:rsidTr="0061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FCBA18" w14:textId="4EB538D1" w:rsidR="00613C3F" w:rsidRPr="00BE42BD" w:rsidRDefault="00A90AC7">
            <w:pPr>
              <w:rPr>
                <w:sz w:val="20"/>
                <w:szCs w:val="20"/>
                <w:lang w:val="fr-FR"/>
              </w:rPr>
            </w:pPr>
            <w:r w:rsidRPr="00BE42BD">
              <w:rPr>
                <w:sz w:val="20"/>
                <w:szCs w:val="20"/>
                <w:lang w:val="fr-FR"/>
              </w:rPr>
              <w:lastRenderedPageBreak/>
              <w:t>Préparation</w:t>
            </w:r>
          </w:p>
        </w:tc>
        <w:tc>
          <w:tcPr>
            <w:tcW w:w="12049" w:type="dxa"/>
          </w:tcPr>
          <w:p w14:paraId="57A1CF6A" w14:textId="77777777" w:rsidR="00A90AC7" w:rsidRPr="00BE42BD" w:rsidRDefault="00A90AC7" w:rsidP="00A90AC7">
            <w:pPr>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Pour les formateurs: les formateurs fonderont leurs enseignements et leurs activités sur l’expérience acquise au cours des années de projets et d’initiatives sur la participation civique et démocratique. Pour pouvoir donner une formation complète et détaillée, les formateurs d’ALDA intégreront également du matériel provenant d’études et d’institutions internationales. La valeur ajoutée de la formation sera l’histoire et l’expérience de l’implication de chaque organisation dans la participation citoyenne et démocratique et l’explication de la création et de l’évolution du processus participatif.</w:t>
            </w:r>
          </w:p>
          <w:p w14:paraId="2FE26C02" w14:textId="759EF869" w:rsidR="00613C3F" w:rsidRPr="00BE42BD" w:rsidRDefault="00A90AC7" w:rsidP="00A90AC7">
            <w:pPr>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Pour les FORMATIONS/PARTICIPANTS: Aucune préparation n’est requise.</w:t>
            </w:r>
          </w:p>
        </w:tc>
      </w:tr>
    </w:tbl>
    <w:p w14:paraId="380D71FD" w14:textId="77777777" w:rsidR="00613C3F" w:rsidRPr="00BE42BD" w:rsidRDefault="00000000">
      <w:pPr>
        <w:jc w:val="both"/>
        <w:rPr>
          <w:sz w:val="20"/>
          <w:szCs w:val="20"/>
          <w:lang w:val="fr-FR"/>
        </w:rPr>
      </w:pPr>
      <w:r w:rsidRPr="00BE42BD">
        <w:rPr>
          <w:sz w:val="20"/>
          <w:szCs w:val="20"/>
          <w:lang w:val="fr-FR"/>
        </w:rPr>
        <w:br w:type="page"/>
      </w:r>
    </w:p>
    <w:p w14:paraId="76DAC38F" w14:textId="6E2791D3" w:rsidR="00613C3F" w:rsidRPr="00BE42BD" w:rsidRDefault="00000000">
      <w:pPr>
        <w:pStyle w:val="Heading1"/>
        <w:rPr>
          <w:rFonts w:cs="Arial"/>
          <w:sz w:val="20"/>
          <w:szCs w:val="20"/>
        </w:rPr>
      </w:pPr>
      <w:proofErr w:type="spellStart"/>
      <w:r w:rsidRPr="00BE42BD">
        <w:rPr>
          <w:rFonts w:cs="Arial"/>
          <w:sz w:val="20"/>
          <w:szCs w:val="20"/>
        </w:rPr>
        <w:lastRenderedPageBreak/>
        <w:t>Activit</w:t>
      </w:r>
      <w:r w:rsidR="00316823" w:rsidRPr="00BE42BD">
        <w:rPr>
          <w:rFonts w:cs="Arial"/>
          <w:sz w:val="20"/>
          <w:szCs w:val="20"/>
        </w:rPr>
        <w:t>é</w:t>
      </w:r>
      <w:r w:rsidRPr="00BE42BD">
        <w:rPr>
          <w:rFonts w:cs="Arial"/>
          <w:sz w:val="20"/>
          <w:szCs w:val="20"/>
        </w:rPr>
        <w:t>s</w:t>
      </w:r>
      <w:proofErr w:type="spellEnd"/>
    </w:p>
    <w:tbl>
      <w:tblPr>
        <w:tblStyle w:val="a0"/>
        <w:tblW w:w="147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0"/>
        <w:gridCol w:w="1995"/>
        <w:gridCol w:w="7740"/>
        <w:gridCol w:w="1800"/>
        <w:gridCol w:w="1785"/>
      </w:tblGrid>
      <w:tr w:rsidR="00613C3F" w:rsidRPr="00BE42BD" w14:paraId="36543094" w14:textId="77777777" w:rsidTr="00613C3F">
        <w:trPr>
          <w:cnfStyle w:val="100000000000" w:firstRow="1" w:lastRow="0" w:firstColumn="0" w:lastColumn="0" w:oddVBand="0" w:evenVBand="0" w:oddHBand="0"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1410" w:type="dxa"/>
          </w:tcPr>
          <w:p w14:paraId="1A0E83DD" w14:textId="77777777" w:rsidR="00B30A8D" w:rsidRPr="00BE42BD" w:rsidRDefault="00B30A8D" w:rsidP="00B30A8D">
            <w:pPr>
              <w:jc w:val="center"/>
              <w:rPr>
                <w:sz w:val="20"/>
                <w:szCs w:val="20"/>
              </w:rPr>
            </w:pPr>
            <w:r w:rsidRPr="00BE42BD">
              <w:rPr>
                <w:sz w:val="20"/>
                <w:szCs w:val="20"/>
              </w:rPr>
              <w:t>Temps</w:t>
            </w:r>
          </w:p>
          <w:p w14:paraId="62976704" w14:textId="39E574AD" w:rsidR="00613C3F" w:rsidRPr="00BE42BD" w:rsidRDefault="00B30A8D" w:rsidP="00B30A8D">
            <w:pPr>
              <w:jc w:val="center"/>
              <w:rPr>
                <w:sz w:val="20"/>
                <w:szCs w:val="20"/>
              </w:rPr>
            </w:pPr>
            <w:r w:rsidRPr="00BE42BD">
              <w:rPr>
                <w:sz w:val="20"/>
                <w:szCs w:val="20"/>
              </w:rPr>
              <w:t xml:space="preserve"> (Approx.) – 3h30 formation</w:t>
            </w:r>
          </w:p>
        </w:tc>
        <w:tc>
          <w:tcPr>
            <w:tcW w:w="1995" w:type="dxa"/>
          </w:tcPr>
          <w:p w14:paraId="6557EB67" w14:textId="41977605" w:rsidR="00613C3F" w:rsidRPr="00BE42BD" w:rsidRDefault="00B30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BE42BD">
              <w:rPr>
                <w:sz w:val="20"/>
                <w:szCs w:val="20"/>
              </w:rPr>
              <w:t xml:space="preserve">Objectif </w:t>
            </w:r>
            <w:proofErr w:type="spellStart"/>
            <w:r w:rsidRPr="00BE42BD">
              <w:rPr>
                <w:sz w:val="20"/>
                <w:szCs w:val="20"/>
              </w:rPr>
              <w:t>spécifique</w:t>
            </w:r>
            <w:proofErr w:type="spellEnd"/>
            <w:r w:rsidRPr="00BE42BD">
              <w:rPr>
                <w:sz w:val="20"/>
                <w:szCs w:val="20"/>
              </w:rPr>
              <w:t xml:space="preserve"> </w:t>
            </w:r>
            <w:proofErr w:type="spellStart"/>
            <w:r w:rsidRPr="00BE42BD">
              <w:rPr>
                <w:sz w:val="20"/>
                <w:szCs w:val="20"/>
              </w:rPr>
              <w:t>d’apprentissage</w:t>
            </w:r>
            <w:proofErr w:type="spellEnd"/>
          </w:p>
        </w:tc>
        <w:tc>
          <w:tcPr>
            <w:tcW w:w="7740" w:type="dxa"/>
          </w:tcPr>
          <w:p w14:paraId="78EEBE48" w14:textId="7A68581A" w:rsidR="00613C3F" w:rsidRPr="00BE42BD" w:rsidRDefault="00B30A8D" w:rsidP="00B30A8D">
            <w:pPr>
              <w:jc w:val="center"/>
              <w:cnfStyle w:val="100000000000" w:firstRow="1"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Activité/Tâche</w:t>
            </w:r>
          </w:p>
        </w:tc>
        <w:tc>
          <w:tcPr>
            <w:tcW w:w="1800" w:type="dxa"/>
          </w:tcPr>
          <w:p w14:paraId="2C90A977" w14:textId="77777777" w:rsidR="00B30A8D" w:rsidRPr="00BE42BD" w:rsidRDefault="00B30A8D" w:rsidP="00B30A8D">
            <w:pPr>
              <w:jc w:val="center"/>
              <w:cnfStyle w:val="100000000000" w:firstRow="1"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Évaluation de l’apprentissage</w:t>
            </w:r>
          </w:p>
          <w:p w14:paraId="44C204EF" w14:textId="77777777" w:rsidR="00B30A8D" w:rsidRPr="00BE42BD" w:rsidRDefault="00B30A8D" w:rsidP="00B30A8D">
            <w:pPr>
              <w:jc w:val="center"/>
              <w:cnfStyle w:val="100000000000" w:firstRow="1" w:lastRow="0" w:firstColumn="0" w:lastColumn="0" w:oddVBand="0" w:evenVBand="0" w:oddHBand="0" w:evenHBand="0" w:firstRowFirstColumn="0" w:firstRowLastColumn="0" w:lastRowFirstColumn="0" w:lastRowLastColumn="0"/>
              <w:rPr>
                <w:sz w:val="20"/>
                <w:szCs w:val="20"/>
                <w:lang w:val="fr-FR"/>
              </w:rPr>
            </w:pPr>
          </w:p>
          <w:p w14:paraId="7A06D7A0" w14:textId="592FFF01" w:rsidR="00613C3F" w:rsidRPr="00BE42BD" w:rsidRDefault="00613C3F" w:rsidP="00B30A8D">
            <w:pPr>
              <w:jc w:val="center"/>
              <w:cnfStyle w:val="100000000000" w:firstRow="1" w:lastRow="0" w:firstColumn="0" w:lastColumn="0" w:oddVBand="0" w:evenVBand="0" w:oddHBand="0" w:evenHBand="0" w:firstRowFirstColumn="0" w:firstRowLastColumn="0" w:lastRowFirstColumn="0" w:lastRowLastColumn="0"/>
              <w:rPr>
                <w:sz w:val="20"/>
                <w:szCs w:val="20"/>
                <w:lang w:val="fr-FR"/>
              </w:rPr>
            </w:pPr>
          </w:p>
        </w:tc>
        <w:tc>
          <w:tcPr>
            <w:tcW w:w="1785" w:type="dxa"/>
          </w:tcPr>
          <w:p w14:paraId="738AFE8C" w14:textId="2156B650" w:rsidR="00613C3F" w:rsidRPr="00BE42BD" w:rsidRDefault="00B30A8D">
            <w:pPr>
              <w:jc w:val="center"/>
              <w:cnfStyle w:val="100000000000" w:firstRow="1"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Ressources</w:t>
            </w:r>
          </w:p>
        </w:tc>
      </w:tr>
      <w:tr w:rsidR="00613C3F" w:rsidRPr="00C41E7B" w14:paraId="4FA23213" w14:textId="77777777" w:rsidTr="0061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Pr>
          <w:p w14:paraId="56D87103" w14:textId="651C3FBB" w:rsidR="00613C3F" w:rsidRPr="00BE42BD" w:rsidRDefault="00B30A8D">
            <w:pPr>
              <w:rPr>
                <w:sz w:val="20"/>
                <w:szCs w:val="20"/>
                <w:lang w:val="fr-FR"/>
              </w:rPr>
            </w:pPr>
            <w:r w:rsidRPr="00BE42BD">
              <w:rPr>
                <w:b w:val="0"/>
                <w:bCs/>
                <w:color w:val="000000"/>
                <w:sz w:val="20"/>
                <w:szCs w:val="20"/>
              </w:rPr>
              <w:t>25 min</w:t>
            </w:r>
          </w:p>
        </w:tc>
        <w:tc>
          <w:tcPr>
            <w:tcW w:w="1995" w:type="dxa"/>
          </w:tcPr>
          <w:p w14:paraId="4874525C" w14:textId="693EEF52" w:rsidR="00613C3F" w:rsidRPr="00BE42BD" w:rsidRDefault="00B30A8D" w:rsidP="00B30A8D">
            <w:pPr>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Première interaction avec les participants à la formation. Moment d’engagement initial pour apprendre à se connaître et commencer un processus d’enseignement, participation à des activités pratiques et connaissances pédagogiques</w:t>
            </w:r>
          </w:p>
        </w:tc>
        <w:tc>
          <w:tcPr>
            <w:tcW w:w="7740" w:type="dxa"/>
          </w:tcPr>
          <w:p w14:paraId="1233E8FE" w14:textId="77777777" w:rsidR="00B30A8D" w:rsidRPr="00BE42BD" w:rsidRDefault="00B30A8D" w:rsidP="00B30A8D">
            <w:pPr>
              <w:jc w:val="both"/>
              <w:cnfStyle w:val="000000100000" w:firstRow="0" w:lastRow="0" w:firstColumn="0" w:lastColumn="0" w:oddVBand="0" w:evenVBand="0" w:oddHBand="1" w:evenHBand="0" w:firstRowFirstColumn="0" w:firstRowLastColumn="0" w:lastRowFirstColumn="0" w:lastRowLastColumn="0"/>
              <w:rPr>
                <w:b/>
                <w:bCs/>
                <w:sz w:val="20"/>
                <w:szCs w:val="20"/>
                <w:lang w:val="fr-FR"/>
              </w:rPr>
            </w:pPr>
            <w:r w:rsidRPr="00BE42BD">
              <w:rPr>
                <w:bCs/>
                <w:sz w:val="20"/>
                <w:szCs w:val="20"/>
                <w:lang w:val="fr-FR"/>
              </w:rPr>
              <w:t>Brise-glace/</w:t>
            </w:r>
            <w:proofErr w:type="spellStart"/>
            <w:r w:rsidRPr="00BE42BD">
              <w:rPr>
                <w:bCs/>
                <w:sz w:val="20"/>
                <w:szCs w:val="20"/>
                <w:lang w:val="fr-FR"/>
              </w:rPr>
              <w:t>énergiseur</w:t>
            </w:r>
            <w:proofErr w:type="spellEnd"/>
            <w:r w:rsidRPr="00BE42BD">
              <w:rPr>
                <w:bCs/>
                <w:sz w:val="20"/>
                <w:szCs w:val="20"/>
                <w:lang w:val="fr-FR"/>
              </w:rPr>
              <w:t xml:space="preserve"> – réalisé par le gestionnaire de projet/formateur en charge du matériel de formation et de la mise en </w:t>
            </w:r>
            <w:proofErr w:type="spellStart"/>
            <w:r w:rsidRPr="00BE42BD">
              <w:rPr>
                <w:bCs/>
                <w:sz w:val="20"/>
                <w:szCs w:val="20"/>
                <w:lang w:val="fr-FR"/>
              </w:rPr>
              <w:t>oeuvre</w:t>
            </w:r>
            <w:proofErr w:type="spellEnd"/>
            <w:r w:rsidRPr="00BE42BD">
              <w:rPr>
                <w:bCs/>
                <w:sz w:val="20"/>
                <w:szCs w:val="20"/>
                <w:lang w:val="fr-FR"/>
              </w:rPr>
              <w:t xml:space="preserve">. </w:t>
            </w:r>
          </w:p>
          <w:p w14:paraId="6C7E2359" w14:textId="77777777" w:rsidR="00B30A8D" w:rsidRPr="00BE42BD" w:rsidRDefault="00B30A8D" w:rsidP="00B30A8D">
            <w:pPr>
              <w:jc w:val="both"/>
              <w:cnfStyle w:val="000000100000" w:firstRow="0" w:lastRow="0" w:firstColumn="0" w:lastColumn="0" w:oddVBand="0" w:evenVBand="0" w:oddHBand="1" w:evenHBand="0" w:firstRowFirstColumn="0" w:firstRowLastColumn="0" w:lastRowFirstColumn="0" w:lastRowLastColumn="0"/>
              <w:rPr>
                <w:b/>
                <w:bCs/>
                <w:sz w:val="20"/>
                <w:szCs w:val="20"/>
                <w:lang w:val="fr-FR"/>
              </w:rPr>
            </w:pPr>
          </w:p>
          <w:p w14:paraId="3E1F0DAF" w14:textId="77777777" w:rsidR="00B30A8D" w:rsidRPr="00BE42BD" w:rsidRDefault="00B30A8D" w:rsidP="00B30A8D">
            <w:pPr>
              <w:jc w:val="both"/>
              <w:cnfStyle w:val="000000100000" w:firstRow="0" w:lastRow="0" w:firstColumn="0" w:lastColumn="0" w:oddVBand="0" w:evenVBand="0" w:oddHBand="1" w:evenHBand="0" w:firstRowFirstColumn="0" w:firstRowLastColumn="0" w:lastRowFirstColumn="0" w:lastRowLastColumn="0"/>
              <w:rPr>
                <w:b/>
                <w:bCs/>
                <w:sz w:val="20"/>
                <w:szCs w:val="20"/>
                <w:lang w:val="fr-FR"/>
              </w:rPr>
            </w:pPr>
            <w:r w:rsidRPr="00BE42BD">
              <w:rPr>
                <w:bCs/>
                <w:sz w:val="20"/>
                <w:szCs w:val="20"/>
                <w:lang w:val="fr-FR"/>
              </w:rPr>
              <w:t xml:space="preserve">En ligne – Zoom </w:t>
            </w:r>
            <w:proofErr w:type="spellStart"/>
            <w:r w:rsidRPr="00BE42BD">
              <w:rPr>
                <w:bCs/>
                <w:sz w:val="20"/>
                <w:szCs w:val="20"/>
                <w:lang w:val="fr-FR"/>
              </w:rPr>
              <w:t>Icebreakers</w:t>
            </w:r>
            <w:proofErr w:type="spellEnd"/>
            <w:r w:rsidRPr="00BE42BD">
              <w:rPr>
                <w:bCs/>
                <w:sz w:val="20"/>
                <w:szCs w:val="20"/>
                <w:lang w:val="fr-FR"/>
              </w:rPr>
              <w:t xml:space="preserve"> est une activité ou une question virtuelle qui aide les membres de l’équipe à distance à se sentir à l’aise et à communiquer entre eux lors de réunions virtuelles sur Zoom. Toute activité visant à accroître le niveau d’énergie des participants en les faisant participer. S’amuser et rire rehaussera également le niveau d’attention des apprenants, stimulera la créativité et éliminera les barrières entre les personnes et/ou le thème de la formation.</w:t>
            </w:r>
          </w:p>
          <w:p w14:paraId="485CD242" w14:textId="77777777" w:rsidR="00B30A8D" w:rsidRPr="00BE42BD" w:rsidRDefault="00B30A8D" w:rsidP="00B30A8D">
            <w:pPr>
              <w:jc w:val="both"/>
              <w:cnfStyle w:val="000000100000" w:firstRow="0" w:lastRow="0" w:firstColumn="0" w:lastColumn="0" w:oddVBand="0" w:evenVBand="0" w:oddHBand="1" w:evenHBand="0" w:firstRowFirstColumn="0" w:firstRowLastColumn="0" w:lastRowFirstColumn="0" w:lastRowLastColumn="0"/>
              <w:rPr>
                <w:b/>
                <w:bCs/>
                <w:sz w:val="20"/>
                <w:szCs w:val="20"/>
                <w:lang w:val="fr-FR"/>
              </w:rPr>
            </w:pPr>
            <w:r w:rsidRPr="00BE42BD">
              <w:rPr>
                <w:bCs/>
                <w:sz w:val="20"/>
                <w:szCs w:val="20"/>
                <w:lang w:val="fr-FR"/>
              </w:rPr>
              <w:t xml:space="preserve">«Work </w:t>
            </w:r>
            <w:proofErr w:type="spellStart"/>
            <w:r w:rsidRPr="00BE42BD">
              <w:rPr>
                <w:bCs/>
                <w:sz w:val="20"/>
                <w:szCs w:val="20"/>
                <w:lang w:val="fr-FR"/>
              </w:rPr>
              <w:t>from</w:t>
            </w:r>
            <w:proofErr w:type="spellEnd"/>
            <w:r w:rsidRPr="00BE42BD">
              <w:rPr>
                <w:bCs/>
                <w:sz w:val="20"/>
                <w:szCs w:val="20"/>
                <w:lang w:val="fr-FR"/>
              </w:rPr>
              <w:t xml:space="preserve"> Home Fails!» – «Work </w:t>
            </w:r>
            <w:proofErr w:type="spellStart"/>
            <w:r w:rsidRPr="00BE42BD">
              <w:rPr>
                <w:bCs/>
                <w:sz w:val="20"/>
                <w:szCs w:val="20"/>
                <w:lang w:val="fr-FR"/>
              </w:rPr>
              <w:t>from</w:t>
            </w:r>
            <w:proofErr w:type="spellEnd"/>
            <w:r w:rsidRPr="00BE42BD">
              <w:rPr>
                <w:bCs/>
                <w:sz w:val="20"/>
                <w:szCs w:val="20"/>
                <w:lang w:val="fr-FR"/>
              </w:rPr>
              <w:t xml:space="preserve"> Home Fails!» - Vous avez probablement vécu ou fait beaucoup de choses stupides depuis que vous avez commencé à travailler de la maison. Comme nous tous. Alors, au début de vos réunions Zoom, prenez une minute pour parler de votre échec majeur.</w:t>
            </w:r>
          </w:p>
          <w:p w14:paraId="608998CA" w14:textId="2BFB0618" w:rsidR="00613C3F" w:rsidRPr="00BE42BD" w:rsidRDefault="00B30A8D" w:rsidP="00B30A8D">
            <w:pPr>
              <w:jc w:val="both"/>
              <w:cnfStyle w:val="000000100000" w:firstRow="0" w:lastRow="0" w:firstColumn="0" w:lastColumn="0" w:oddVBand="0" w:evenVBand="0" w:oddHBand="1" w:evenHBand="0" w:firstRowFirstColumn="0" w:firstRowLastColumn="0" w:lastRowFirstColumn="0" w:lastRowLastColumn="0"/>
              <w:rPr>
                <w:color w:val="1A1A1A"/>
                <w:sz w:val="20"/>
                <w:szCs w:val="20"/>
                <w:lang w:val="fr-FR"/>
              </w:rPr>
            </w:pPr>
            <w:r w:rsidRPr="00BE42BD">
              <w:rPr>
                <w:bCs/>
                <w:sz w:val="20"/>
                <w:szCs w:val="20"/>
                <w:lang w:val="fr-FR"/>
              </w:rPr>
              <w:t xml:space="preserve">En personne – Paper </w:t>
            </w:r>
            <w:proofErr w:type="spellStart"/>
            <w:r w:rsidRPr="00BE42BD">
              <w:rPr>
                <w:bCs/>
                <w:sz w:val="20"/>
                <w:szCs w:val="20"/>
                <w:lang w:val="fr-FR"/>
              </w:rPr>
              <w:t>Airplane</w:t>
            </w:r>
            <w:proofErr w:type="spellEnd"/>
            <w:r w:rsidRPr="00BE42BD">
              <w:rPr>
                <w:bCs/>
                <w:sz w:val="20"/>
                <w:szCs w:val="20"/>
                <w:lang w:val="fr-FR"/>
              </w:rPr>
              <w:t xml:space="preserve"> Game: C’est l’un de ces jeux brise-glace qui ne fonctionnent que pour les réunions en personne. Tout d’abord, passez des feuilles de papier de couleur aux membres de votre équipe et demandez-leur d’écrire un fait intéressant sur eux-mêmes. Demandez-leur de faire un avion en papier. Une fois prêts, chaque membre de l’équipe lancera son avion en papier de l’autre côté de la pièce. Ensuite, choisissez les avions en papier, lisez-les à voix haute et faites-leur deviner de quel avion en papier il s’agit.</w:t>
            </w:r>
          </w:p>
        </w:tc>
        <w:tc>
          <w:tcPr>
            <w:tcW w:w="1800" w:type="dxa"/>
          </w:tcPr>
          <w:p w14:paraId="30C76CA7" w14:textId="77777777" w:rsidR="00B30A8D" w:rsidRPr="00BE42BD" w:rsidRDefault="00B30A8D" w:rsidP="00B30A8D">
            <w:pPr>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Demandez à tous les participants à la formation de participer aux activités de connaissances et brise-glace sera l’évaluation. Il sera important de veiller à ce que tout le monde ait la possibilité de s’impliquer et de s’exprimer.</w:t>
            </w:r>
          </w:p>
          <w:p w14:paraId="19B760F7" w14:textId="6D9FFD2F" w:rsidR="00613C3F" w:rsidRPr="00BE42BD" w:rsidRDefault="00B30A8D" w:rsidP="00B30A8D">
            <w:pPr>
              <w:cnfStyle w:val="000000100000" w:firstRow="0" w:lastRow="0" w:firstColumn="0" w:lastColumn="0" w:oddVBand="0" w:evenVBand="0" w:oddHBand="1" w:evenHBand="0" w:firstRowFirstColumn="0" w:firstRowLastColumn="0" w:lastRowFirstColumn="0" w:lastRowLastColumn="0"/>
              <w:rPr>
                <w:sz w:val="20"/>
                <w:szCs w:val="20"/>
                <w:lang w:val="fr-FR"/>
              </w:rPr>
            </w:pPr>
            <w:r w:rsidRPr="00BE42BD">
              <w:rPr>
                <w:sz w:val="20"/>
                <w:szCs w:val="20"/>
                <w:lang w:val="fr-FR"/>
              </w:rPr>
              <w:t>Ne pas avoir un environnement hostile.</w:t>
            </w:r>
          </w:p>
        </w:tc>
        <w:tc>
          <w:tcPr>
            <w:tcW w:w="1785" w:type="dxa"/>
          </w:tcPr>
          <w:p w14:paraId="574D2AB0" w14:textId="4BFF844D" w:rsidR="00B30A8D" w:rsidRPr="00BE42BD" w:rsidRDefault="00B30A8D" w:rsidP="00B30A8D">
            <w:pPr>
              <w:cnfStyle w:val="000000100000" w:firstRow="0" w:lastRow="0" w:firstColumn="0" w:lastColumn="0" w:oddVBand="0" w:evenVBand="0" w:oddHBand="1" w:evenHBand="0" w:firstRowFirstColumn="0" w:firstRowLastColumn="0" w:lastRowFirstColumn="0" w:lastRowLastColumn="0"/>
              <w:rPr>
                <w:color w:val="1A1A1A"/>
                <w:sz w:val="20"/>
                <w:szCs w:val="20"/>
                <w:lang w:val="fr-FR"/>
              </w:rPr>
            </w:pPr>
            <w:r w:rsidRPr="00BE42BD">
              <w:rPr>
                <w:color w:val="1A1A1A"/>
                <w:sz w:val="20"/>
                <w:szCs w:val="20"/>
                <w:lang w:val="fr-FR"/>
              </w:rPr>
              <w:t xml:space="preserve">Pour Zoom </w:t>
            </w:r>
            <w:proofErr w:type="spellStart"/>
            <w:r w:rsidRPr="00BE42BD">
              <w:rPr>
                <w:color w:val="1A1A1A"/>
                <w:sz w:val="20"/>
                <w:szCs w:val="20"/>
                <w:lang w:val="fr-FR"/>
              </w:rPr>
              <w:t>Icebreakers</w:t>
            </w:r>
            <w:proofErr w:type="spellEnd"/>
            <w:r w:rsidRPr="00BE42BD">
              <w:rPr>
                <w:color w:val="1A1A1A"/>
                <w:sz w:val="20"/>
                <w:szCs w:val="20"/>
                <w:lang w:val="fr-FR"/>
              </w:rPr>
              <w:t xml:space="preserve"> vous pouvez trouver plus d’exemple sur ce lien: </w:t>
            </w:r>
            <w:hyperlink r:id="rId8" w:history="1">
              <w:r w:rsidRPr="00BE42BD">
                <w:rPr>
                  <w:rStyle w:val="Hyperlink"/>
                  <w:sz w:val="20"/>
                  <w:szCs w:val="20"/>
                  <w:lang w:val="fr-FR"/>
                </w:rPr>
                <w:t>https://blog.vantagecircle.com/zoom-icebreakers/</w:t>
              </w:r>
            </w:hyperlink>
            <w:r w:rsidRPr="00BE42BD">
              <w:rPr>
                <w:color w:val="1A1A1A"/>
                <w:sz w:val="20"/>
                <w:szCs w:val="20"/>
                <w:lang w:val="fr-FR"/>
              </w:rPr>
              <w:t xml:space="preserve"> </w:t>
            </w:r>
          </w:p>
          <w:p w14:paraId="1275E36B" w14:textId="4E4D0AA5" w:rsidR="00613C3F" w:rsidRPr="00BE42BD" w:rsidRDefault="00B30A8D" w:rsidP="00B30A8D">
            <w:pPr>
              <w:cnfStyle w:val="000000100000" w:firstRow="0" w:lastRow="0" w:firstColumn="0" w:lastColumn="0" w:oddVBand="0" w:evenVBand="0" w:oddHBand="1" w:evenHBand="0" w:firstRowFirstColumn="0" w:firstRowLastColumn="0" w:lastRowFirstColumn="0" w:lastRowLastColumn="0"/>
              <w:rPr>
                <w:color w:val="1A1A1A"/>
                <w:sz w:val="20"/>
                <w:szCs w:val="20"/>
                <w:lang w:val="fr-FR"/>
              </w:rPr>
            </w:pPr>
            <w:r w:rsidRPr="00BE42BD">
              <w:rPr>
                <w:color w:val="1A1A1A"/>
                <w:sz w:val="20"/>
                <w:szCs w:val="20"/>
                <w:lang w:val="fr-FR"/>
              </w:rPr>
              <w:t>Pour une activité destinée à briser la glace, vous n’aurez besoin que de quelques feuilles de papier colorées et stylos/crayons.</w:t>
            </w:r>
          </w:p>
        </w:tc>
      </w:tr>
      <w:tr w:rsidR="00613C3F" w:rsidRPr="00C41E7B" w14:paraId="768E9FC0" w14:textId="77777777" w:rsidTr="00BE42BD">
        <w:tc>
          <w:tcPr>
            <w:cnfStyle w:val="001000000000" w:firstRow="0" w:lastRow="0" w:firstColumn="1" w:lastColumn="0" w:oddVBand="0" w:evenVBand="0" w:oddHBand="0" w:evenHBand="0" w:firstRowFirstColumn="0" w:firstRowLastColumn="0" w:lastRowFirstColumn="0" w:lastRowLastColumn="0"/>
            <w:tcW w:w="1410" w:type="dxa"/>
          </w:tcPr>
          <w:p w14:paraId="1C67D134" w14:textId="3BEF3285" w:rsidR="00613C3F" w:rsidRPr="00BE42BD" w:rsidRDefault="00BE42BD">
            <w:pPr>
              <w:rPr>
                <w:sz w:val="20"/>
                <w:szCs w:val="20"/>
                <w:lang w:val="fr-FR"/>
              </w:rPr>
            </w:pPr>
            <w:r w:rsidRPr="00BE42BD">
              <w:rPr>
                <w:sz w:val="20"/>
                <w:szCs w:val="20"/>
                <w:lang w:val="fr-FR"/>
              </w:rPr>
              <w:t>1 heure et 15 min</w:t>
            </w:r>
          </w:p>
        </w:tc>
        <w:tc>
          <w:tcPr>
            <w:tcW w:w="1995" w:type="dxa"/>
          </w:tcPr>
          <w:p w14:paraId="0813C415" w14:textId="77777777" w:rsidR="00BE42BD" w:rsidRPr="00BE42BD" w:rsidRDefault="00BE42BD" w:rsidP="00BE42BD">
            <w:pPr>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Présentez brièvement l’historique, les objectifs et les activités.</w:t>
            </w:r>
          </w:p>
          <w:p w14:paraId="55D18A9C" w14:textId="7955FFB0" w:rsidR="00613C3F" w:rsidRPr="00BE42BD" w:rsidRDefault="00BE42BD" w:rsidP="00BE42BD">
            <w:pPr>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 xml:space="preserve">L’objectif spécifique d’apprentissage serait de donner aux participants une base pédagogique sur la </w:t>
            </w:r>
            <w:r w:rsidRPr="00BE42BD">
              <w:rPr>
                <w:sz w:val="20"/>
                <w:szCs w:val="20"/>
                <w:lang w:val="fr-FR"/>
              </w:rPr>
              <w:lastRenderedPageBreak/>
              <w:t>participation citoyenne aux communautés et les méthodes participatives.</w:t>
            </w:r>
          </w:p>
        </w:tc>
        <w:tc>
          <w:tcPr>
            <w:tcW w:w="7740" w:type="dxa"/>
          </w:tcPr>
          <w:p w14:paraId="6FFCB14C" w14:textId="7E5524A9" w:rsid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lastRenderedPageBreak/>
              <w:t>Introduction – Présentation du ou des formateurs, de leur organisation et de leur expérience. La personne introduira ensuite le thème de la « démocratie participative » – de l’évaluation aux solutions. Donner une vue d’ensemble du contexte théorique et des activités pratiques pour la réussite d’une participation pleine et entière des citoyens au niveau local.</w:t>
            </w:r>
          </w:p>
          <w:p w14:paraId="236C6640" w14:textId="77777777" w:rsidR="004E5B57" w:rsidRPr="00BE42BD" w:rsidRDefault="004E5B57"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p w14:paraId="4C2AA50C" w14:textId="77777777" w:rsidR="00BE42BD" w:rsidRP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 xml:space="preserve">Avant le début des activités éducatives, nous lancerons un sondage en ligne – à l’aide de la plateforme interactive numérique MENTIMETER.com – pour interroger les participants sur leurs connaissances, leurs pensées et leurs croyances sur ce qu’est ou est censé être la participation citoyenne et démocratique. </w:t>
            </w:r>
          </w:p>
          <w:p w14:paraId="1B0AA1B1" w14:textId="77777777" w:rsidR="00BE42BD" w:rsidRP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p w14:paraId="01E9BF19" w14:textId="77777777" w:rsidR="00BE42BD" w:rsidRP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lastRenderedPageBreak/>
              <w:t xml:space="preserve">Contexte – Des renseignements de base seront fournis aux participants pour leur permettre de mieux comprendre les citoyens et la participation démocratique. </w:t>
            </w:r>
          </w:p>
          <w:p w14:paraId="7F54D39B" w14:textId="77777777" w:rsidR="00BE42BD" w:rsidRP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p w14:paraId="7446E3FC" w14:textId="77777777" w:rsidR="00BE42BD" w:rsidRP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 xml:space="preserve">Théorie – Le matériel didactique sera remis aux participants et expliqué. </w:t>
            </w:r>
          </w:p>
          <w:p w14:paraId="5EA52312" w14:textId="18270DB8" w:rsidR="00BE42BD" w:rsidRP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 xml:space="preserve">Les thèmes abordés sont les </w:t>
            </w:r>
            <w:r w:rsidR="004E5B57" w:rsidRPr="00BE42BD">
              <w:rPr>
                <w:sz w:val="20"/>
                <w:szCs w:val="20"/>
                <w:lang w:val="fr-FR"/>
              </w:rPr>
              <w:t>suivants :</w:t>
            </w:r>
          </w:p>
          <w:p w14:paraId="003F525E" w14:textId="3C865587" w:rsidR="00BE42BD" w:rsidRP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 xml:space="preserve">Objectifs et </w:t>
            </w:r>
            <w:r w:rsidR="004E5B57" w:rsidRPr="00BE42BD">
              <w:rPr>
                <w:sz w:val="20"/>
                <w:szCs w:val="20"/>
                <w:lang w:val="fr-FR"/>
              </w:rPr>
              <w:t>cibles ;</w:t>
            </w:r>
          </w:p>
          <w:p w14:paraId="1847980C" w14:textId="75F976F2" w:rsidR="00BE42BD" w:rsidRP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 xml:space="preserve">Cadre général de la participation </w:t>
            </w:r>
            <w:r w:rsidR="004E5B57" w:rsidRPr="00BE42BD">
              <w:rPr>
                <w:sz w:val="20"/>
                <w:szCs w:val="20"/>
                <w:lang w:val="fr-FR"/>
              </w:rPr>
              <w:t>civile ;</w:t>
            </w:r>
          </w:p>
          <w:p w14:paraId="0DA0CB2C" w14:textId="77777777" w:rsidR="00BE42BD" w:rsidRP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Comment s’engager (les différents niveaux de participation, les étapes du processus de prise de décision politique, les outils transversaux et les mécanismes de participation civile);</w:t>
            </w:r>
          </w:p>
          <w:p w14:paraId="6C9F0B6A" w14:textId="77777777" w:rsidR="00BE42BD" w:rsidRP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Boîte à outils</w:t>
            </w:r>
          </w:p>
          <w:p w14:paraId="2C85C8E4" w14:textId="77777777" w:rsidR="00BE42BD" w:rsidRP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p w14:paraId="21FF8B79" w14:textId="2378A7B9" w:rsidR="00613C3F" w:rsidRPr="00BE42BD" w:rsidRDefault="00BE42BD" w:rsidP="00BE42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t>Présentation – Une présentation PowerPoint accompagnera toutes les activités éducatives et pédagogiques pour donner aux participants des outils visuels pour suivre la leçon enseignée.</w:t>
            </w:r>
          </w:p>
        </w:tc>
        <w:tc>
          <w:tcPr>
            <w:tcW w:w="1800" w:type="dxa"/>
            <w:shd w:val="clear" w:color="auto" w:fill="auto"/>
          </w:tcPr>
          <w:p w14:paraId="639673AD" w14:textId="2DCCAC6F" w:rsidR="00613C3F" w:rsidRPr="00BE42BD" w:rsidRDefault="00BE42BD" w:rsidP="00BE42BD">
            <w:pPr>
              <w:cnfStyle w:val="000000000000" w:firstRow="0" w:lastRow="0" w:firstColumn="0" w:lastColumn="0" w:oddVBand="0" w:evenVBand="0" w:oddHBand="0" w:evenHBand="0" w:firstRowFirstColumn="0" w:firstRowLastColumn="0" w:lastRowFirstColumn="0" w:lastRowLastColumn="0"/>
              <w:rPr>
                <w:sz w:val="20"/>
                <w:szCs w:val="20"/>
                <w:lang w:val="fr-FR"/>
              </w:rPr>
            </w:pPr>
            <w:r w:rsidRPr="00BE42BD">
              <w:rPr>
                <w:sz w:val="20"/>
                <w:szCs w:val="20"/>
                <w:lang w:val="fr-FR"/>
              </w:rPr>
              <w:lastRenderedPageBreak/>
              <w:t xml:space="preserve">Les participants seront invités à répondre à quelques questions afin de confirmer qu’ils ont appris les principaux concepts des leçons. L’activité d’évaluation se </w:t>
            </w:r>
            <w:r w:rsidRPr="00BE42BD">
              <w:rPr>
                <w:sz w:val="20"/>
                <w:szCs w:val="20"/>
                <w:lang w:val="fr-FR"/>
              </w:rPr>
              <w:lastRenderedPageBreak/>
              <w:t>fera sur Mentimeter.com de manière interactive</w:t>
            </w:r>
          </w:p>
        </w:tc>
        <w:tc>
          <w:tcPr>
            <w:tcW w:w="1785" w:type="dxa"/>
          </w:tcPr>
          <w:p w14:paraId="0D978370" w14:textId="77777777" w:rsidR="004E5B57" w:rsidRPr="004E5B57" w:rsidRDefault="004E5B57" w:rsidP="004E5B57">
            <w:pPr>
              <w:cnfStyle w:val="000000000000" w:firstRow="0" w:lastRow="0" w:firstColumn="0" w:lastColumn="0" w:oddVBand="0" w:evenVBand="0" w:oddHBand="0" w:evenHBand="0" w:firstRowFirstColumn="0" w:firstRowLastColumn="0" w:lastRowFirstColumn="0" w:lastRowLastColumn="0"/>
              <w:rPr>
                <w:sz w:val="20"/>
                <w:szCs w:val="20"/>
                <w:lang w:val="fr-FR"/>
              </w:rPr>
            </w:pPr>
            <w:r w:rsidRPr="004E5B57">
              <w:rPr>
                <w:sz w:val="20"/>
                <w:szCs w:val="20"/>
                <w:lang w:val="fr-FR"/>
              </w:rPr>
              <w:lastRenderedPageBreak/>
              <w:t xml:space="preserve">Matériel d’enseignement et d’éducation tiré de l’expérience, des formateurs, dans la promotion de la bonne gouvernance et de la participation citoyenne au </w:t>
            </w:r>
            <w:r w:rsidRPr="004E5B57">
              <w:rPr>
                <w:sz w:val="20"/>
                <w:szCs w:val="20"/>
                <w:lang w:val="fr-FR"/>
              </w:rPr>
              <w:lastRenderedPageBreak/>
              <w:t>niveau local dans toute l’Europe et au-delà.</w:t>
            </w:r>
          </w:p>
          <w:p w14:paraId="089A1D82" w14:textId="77777777" w:rsidR="004E5B57" w:rsidRPr="004E5B57" w:rsidRDefault="004E5B57" w:rsidP="004E5B57">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1B6AB216" w14:textId="2CF92030" w:rsidR="004E5B57" w:rsidRPr="004E5B57" w:rsidRDefault="004E5B57" w:rsidP="004E5B57">
            <w:pPr>
              <w:cnfStyle w:val="000000000000" w:firstRow="0" w:lastRow="0" w:firstColumn="0" w:lastColumn="0" w:oddVBand="0" w:evenVBand="0" w:oddHBand="0" w:evenHBand="0" w:firstRowFirstColumn="0" w:firstRowLastColumn="0" w:lastRowFirstColumn="0" w:lastRowLastColumn="0"/>
              <w:rPr>
                <w:sz w:val="20"/>
                <w:szCs w:val="20"/>
                <w:lang w:val="fr-FR"/>
              </w:rPr>
            </w:pPr>
            <w:r w:rsidRPr="004E5B57">
              <w:rPr>
                <w:sz w:val="20"/>
                <w:szCs w:val="20"/>
                <w:lang w:val="fr-FR"/>
              </w:rPr>
              <w:t xml:space="preserve">Parmi les autres ressources utilisées pour l’élaboration du matériel de formation, on peut citer le « Code de bonne pratique pour la participation de la société civile au processus décisionnel» du Conseil de l’Europe (en ligne gratuite: </w:t>
            </w:r>
            <w:r w:rsidR="00000000">
              <w:fldChar w:fldCharType="begin"/>
            </w:r>
            <w:r w:rsidR="00000000" w:rsidRPr="00740369">
              <w:rPr>
                <w:lang w:val="fr-FR"/>
              </w:rPr>
              <w:instrText>HYPERLINK "https://rm.coe.int/code-of-good-practice-civil-participation-revised-301019-en/168098b0e2"</w:instrText>
            </w:r>
            <w:r w:rsidR="00000000">
              <w:fldChar w:fldCharType="separate"/>
            </w:r>
            <w:r w:rsidRPr="00D77ABE">
              <w:rPr>
                <w:rStyle w:val="Hyperlink"/>
                <w:sz w:val="20"/>
                <w:szCs w:val="20"/>
                <w:lang w:val="fr-FR"/>
              </w:rPr>
              <w:t>https://rm.coe.int/code-of-good-practice-civil-participation-revised-301019-en/168098b0e2</w:t>
            </w:r>
            <w:r w:rsidR="00000000">
              <w:rPr>
                <w:rStyle w:val="Hyperlink"/>
                <w:sz w:val="20"/>
                <w:szCs w:val="20"/>
                <w:lang w:val="fr-FR"/>
              </w:rPr>
              <w:fldChar w:fldCharType="end"/>
            </w:r>
            <w:r w:rsidRPr="004E5B57">
              <w:rPr>
                <w:sz w:val="20"/>
                <w:szCs w:val="20"/>
                <w:lang w:val="fr-FR"/>
              </w:rPr>
              <w:t>).</w:t>
            </w:r>
            <w:r>
              <w:rPr>
                <w:sz w:val="20"/>
                <w:szCs w:val="20"/>
                <w:lang w:val="fr-FR"/>
              </w:rPr>
              <w:t xml:space="preserve"> </w:t>
            </w:r>
          </w:p>
          <w:p w14:paraId="6366B730" w14:textId="3C167238" w:rsidR="00613C3F" w:rsidRPr="00BE42BD" w:rsidRDefault="004E5B57" w:rsidP="004E5B57">
            <w:pPr>
              <w:cnfStyle w:val="000000000000" w:firstRow="0" w:lastRow="0" w:firstColumn="0" w:lastColumn="0" w:oddVBand="0" w:evenVBand="0" w:oddHBand="0" w:evenHBand="0" w:firstRowFirstColumn="0" w:firstRowLastColumn="0" w:lastRowFirstColumn="0" w:lastRowLastColumn="0"/>
              <w:rPr>
                <w:sz w:val="20"/>
                <w:szCs w:val="20"/>
                <w:highlight w:val="white"/>
                <w:lang w:val="fr-FR"/>
              </w:rPr>
            </w:pPr>
            <w:r w:rsidRPr="004E5B57">
              <w:rPr>
                <w:sz w:val="20"/>
                <w:szCs w:val="20"/>
                <w:lang w:val="fr-FR"/>
              </w:rPr>
              <w:t>Matériel : outils pour accéder à Mentimeter.com (téléphone ou ordinateur portable)</w:t>
            </w:r>
          </w:p>
        </w:tc>
      </w:tr>
      <w:tr w:rsidR="00613C3F" w:rsidRPr="00C41E7B" w14:paraId="227C8112" w14:textId="77777777" w:rsidTr="0061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Pr>
          <w:p w14:paraId="5893777E" w14:textId="6D2295B1" w:rsidR="00613C3F" w:rsidRPr="00BE42BD" w:rsidRDefault="002071A4">
            <w:pPr>
              <w:rPr>
                <w:sz w:val="20"/>
                <w:szCs w:val="20"/>
                <w:lang w:val="fr-FR"/>
              </w:rPr>
            </w:pPr>
            <w:r>
              <w:rPr>
                <w:sz w:val="20"/>
                <w:szCs w:val="20"/>
                <w:lang w:val="fr-FR"/>
              </w:rPr>
              <w:lastRenderedPageBreak/>
              <w:t xml:space="preserve">1 heure </w:t>
            </w:r>
          </w:p>
        </w:tc>
        <w:tc>
          <w:tcPr>
            <w:tcW w:w="1995" w:type="dxa"/>
          </w:tcPr>
          <w:p w14:paraId="2C5C0899" w14:textId="38EC504F" w:rsidR="00613C3F" w:rsidRPr="00BE42BD" w:rsidRDefault="002071A4">
            <w:pPr>
              <w:cnfStyle w:val="000000100000" w:firstRow="0" w:lastRow="0" w:firstColumn="0" w:lastColumn="0" w:oddVBand="0" w:evenVBand="0" w:oddHBand="1" w:evenHBand="0" w:firstRowFirstColumn="0" w:firstRowLastColumn="0" w:lastRowFirstColumn="0" w:lastRowLastColumn="0"/>
              <w:rPr>
                <w:sz w:val="20"/>
                <w:szCs w:val="20"/>
                <w:lang w:val="fr-FR"/>
              </w:rPr>
            </w:pPr>
            <w:r w:rsidRPr="002071A4">
              <w:rPr>
                <w:sz w:val="20"/>
                <w:szCs w:val="20"/>
                <w:lang w:val="fr-FR"/>
              </w:rPr>
              <w:t xml:space="preserve">Mise en pratique du concept acquis lors de la première partie de la formation. Les </w:t>
            </w:r>
            <w:r w:rsidRPr="002071A4">
              <w:rPr>
                <w:sz w:val="20"/>
                <w:szCs w:val="20"/>
                <w:lang w:val="fr-FR"/>
              </w:rPr>
              <w:lastRenderedPageBreak/>
              <w:t>participants seront invités à interagir activement et à faire part de leur point de vue, de leurs réflexions et de leur expérience dans la discussion pratique.</w:t>
            </w:r>
          </w:p>
        </w:tc>
        <w:tc>
          <w:tcPr>
            <w:tcW w:w="7740" w:type="dxa"/>
          </w:tcPr>
          <w:p w14:paraId="131EDC5B" w14:textId="77777777" w:rsidR="0091078D" w:rsidRPr="0091078D" w:rsidRDefault="0091078D" w:rsidP="0091078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91078D">
              <w:rPr>
                <w:bCs/>
                <w:sz w:val="20"/>
                <w:szCs w:val="20"/>
                <w:lang w:val="fr-FR"/>
              </w:rPr>
              <w:lastRenderedPageBreak/>
              <w:t>Activité pratique – Avant de commencer les activités pratiques, on demandera aux participants de répondre à un autre sondage/questions portant sur les thèmes de la participation citoyenne.</w:t>
            </w:r>
          </w:p>
          <w:p w14:paraId="21F84635" w14:textId="77777777" w:rsidR="0091078D" w:rsidRPr="0091078D" w:rsidRDefault="0091078D" w:rsidP="0091078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91078D">
              <w:rPr>
                <w:bCs/>
                <w:sz w:val="20"/>
                <w:szCs w:val="20"/>
                <w:lang w:val="fr-FR"/>
              </w:rPr>
              <w:t>2 activités au choix:</w:t>
            </w:r>
          </w:p>
          <w:p w14:paraId="4CAA2D1B" w14:textId="77777777" w:rsidR="0091078D" w:rsidRPr="0091078D" w:rsidRDefault="0091078D" w:rsidP="0091078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91078D">
              <w:rPr>
                <w:bCs/>
                <w:sz w:val="20"/>
                <w:szCs w:val="20"/>
                <w:lang w:val="fr-FR"/>
              </w:rPr>
              <w:lastRenderedPageBreak/>
              <w:t>Méthode du café du monde – La méthodologie du café du monde est un format simple, efficace et flexible pour organiser un dialogue de groupe. Chaque élément de la méthode a une finalité spécifique et correspond à un ou plusieurs principes de conception. Chaque ronde débute par une question spécifique liée à l’objectif général de l’événement, dans notre cas comment renforcer la participation des citoyens. Les mêmes questions peuvent être utilisées pour plus d’un tour ou elles peuvent s’ajouter les unes aux autres. Le choix de la ou des questions est crucial pour la réussite de l’événement. En général, il est utile de formuler les questions sous une forme positive et ouverte pour permettre une discussion constructive. Si les participants n’estiment pas que les questions de discussion qui inspirent l’événement ont peu de chances de réussir, il peut être bon de développer la question avec certains des participants visés.</w:t>
            </w:r>
          </w:p>
          <w:p w14:paraId="37913415" w14:textId="77777777" w:rsidR="0091078D" w:rsidRPr="0091078D" w:rsidRDefault="0091078D" w:rsidP="0091078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91078D">
              <w:rPr>
                <w:bCs/>
                <w:sz w:val="20"/>
                <w:szCs w:val="20"/>
                <w:lang w:val="fr-FR"/>
              </w:rPr>
              <w:t>Les participants seront répartis dans différentes salles Zoom«(tables). Au cours de l’événement, les participants discutent des questions à leur table, avant de passer à une nouvelle table/groupe pour chaque nouvelle ronde.</w:t>
            </w:r>
          </w:p>
          <w:p w14:paraId="5887EA36" w14:textId="607A9C49" w:rsidR="0091078D" w:rsidRDefault="0091078D" w:rsidP="0091078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91078D">
              <w:rPr>
                <w:bCs/>
                <w:sz w:val="20"/>
                <w:szCs w:val="20"/>
                <w:lang w:val="fr-FR"/>
              </w:rPr>
              <w:t>Un participant (l’animateur de la table) reste et résume la conversation précédente à l’intention des nouveaux arrivants (un document Word mis à la disposition de tous les participants, pour chaque table, serait disponible sur un lecteur afin de suivre de près les réponses et les opinions). En déplaçant les participants dans la salle, les conversations à chaque table sont enrichies d’idées provenant d’autres tables, ce qui donne naissance à une intelligence collective. À l’issue du processus, les idées principales sont résumées en séance plénière et les possibilités de suivi sont examinées.</w:t>
            </w:r>
          </w:p>
          <w:p w14:paraId="5ACA845E" w14:textId="77777777" w:rsidR="0091078D" w:rsidRPr="0091078D" w:rsidRDefault="0091078D" w:rsidP="0091078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p>
          <w:p w14:paraId="7130F8A0" w14:textId="77777777" w:rsidR="0091078D" w:rsidRPr="0091078D" w:rsidRDefault="0091078D" w:rsidP="0091078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91078D">
              <w:rPr>
                <w:bCs/>
                <w:sz w:val="20"/>
                <w:szCs w:val="20"/>
                <w:lang w:val="fr-FR"/>
              </w:rPr>
              <w:t>4 tables seront gérées:</w:t>
            </w:r>
          </w:p>
          <w:p w14:paraId="7EBEF840" w14:textId="77777777" w:rsidR="0091078D" w:rsidRPr="0091078D" w:rsidRDefault="0091078D" w:rsidP="0091078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91078D">
              <w:rPr>
                <w:bCs/>
                <w:sz w:val="20"/>
                <w:szCs w:val="20"/>
                <w:lang w:val="fr-FR"/>
              </w:rPr>
              <w:t xml:space="preserve">la numérisation; </w:t>
            </w:r>
          </w:p>
          <w:p w14:paraId="7F469F44" w14:textId="77777777" w:rsidR="0091078D" w:rsidRPr="0091078D" w:rsidRDefault="0091078D" w:rsidP="0091078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91078D">
              <w:rPr>
                <w:bCs/>
                <w:sz w:val="20"/>
                <w:szCs w:val="20"/>
                <w:lang w:val="fr-FR"/>
              </w:rPr>
              <w:t xml:space="preserve">Comment atteindre les «invisibles»; </w:t>
            </w:r>
          </w:p>
          <w:p w14:paraId="5358E2D2" w14:textId="77777777" w:rsidR="0091078D" w:rsidRPr="0091078D" w:rsidRDefault="0091078D" w:rsidP="0091078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91078D">
              <w:rPr>
                <w:bCs/>
                <w:sz w:val="20"/>
                <w:szCs w:val="20"/>
                <w:lang w:val="fr-FR"/>
              </w:rPr>
              <w:t xml:space="preserve">Part des meilleures pratiques; </w:t>
            </w:r>
          </w:p>
          <w:p w14:paraId="14027A84" w14:textId="77777777" w:rsidR="0091078D" w:rsidRPr="0091078D" w:rsidRDefault="0091078D" w:rsidP="0091078D">
            <w:pPr>
              <w:jc w:val="both"/>
              <w:cnfStyle w:val="000000100000" w:firstRow="0" w:lastRow="0" w:firstColumn="0" w:lastColumn="0" w:oddVBand="0" w:evenVBand="0" w:oddHBand="1" w:evenHBand="0" w:firstRowFirstColumn="0" w:firstRowLastColumn="0" w:lastRowFirstColumn="0" w:lastRowLastColumn="0"/>
              <w:rPr>
                <w:bCs/>
                <w:sz w:val="20"/>
                <w:szCs w:val="20"/>
                <w:lang w:val="fr-FR"/>
              </w:rPr>
            </w:pPr>
            <w:r w:rsidRPr="0091078D">
              <w:rPr>
                <w:bCs/>
                <w:sz w:val="20"/>
                <w:szCs w:val="20"/>
                <w:lang w:val="fr-FR"/>
              </w:rPr>
              <w:t xml:space="preserve">Relations avec les collectivités locales </w:t>
            </w:r>
          </w:p>
          <w:p w14:paraId="22F542B1" w14:textId="3E22E6D4" w:rsidR="00613C3F" w:rsidRPr="00BE42BD" w:rsidRDefault="0091078D" w:rsidP="0091078D">
            <w:pPr>
              <w:jc w:val="both"/>
              <w:cnfStyle w:val="000000100000" w:firstRow="0" w:lastRow="0" w:firstColumn="0" w:lastColumn="0" w:oddVBand="0" w:evenVBand="0" w:oddHBand="1" w:evenHBand="0" w:firstRowFirstColumn="0" w:firstRowLastColumn="0" w:lastRowFirstColumn="0" w:lastRowLastColumn="0"/>
              <w:rPr>
                <w:b/>
                <w:sz w:val="20"/>
                <w:szCs w:val="20"/>
                <w:lang w:val="fr-FR"/>
              </w:rPr>
            </w:pPr>
            <w:r w:rsidRPr="0091078D">
              <w:rPr>
                <w:bCs/>
                <w:sz w:val="20"/>
                <w:szCs w:val="20"/>
                <w:lang w:val="fr-FR"/>
              </w:rPr>
              <w:t>Le thème des tables peut changer en fonction des besoins et des intérêts des participants.</w:t>
            </w:r>
          </w:p>
        </w:tc>
        <w:tc>
          <w:tcPr>
            <w:tcW w:w="1800" w:type="dxa"/>
          </w:tcPr>
          <w:p w14:paraId="360C4383" w14:textId="57227997" w:rsidR="00613C3F" w:rsidRPr="00BE42BD" w:rsidRDefault="0091078D">
            <w:pPr>
              <w:cnfStyle w:val="000000100000" w:firstRow="0" w:lastRow="0" w:firstColumn="0" w:lastColumn="0" w:oddVBand="0" w:evenVBand="0" w:oddHBand="1" w:evenHBand="0" w:firstRowFirstColumn="0" w:firstRowLastColumn="0" w:lastRowFirstColumn="0" w:lastRowLastColumn="0"/>
              <w:rPr>
                <w:sz w:val="20"/>
                <w:szCs w:val="20"/>
                <w:lang w:val="fr-FR"/>
              </w:rPr>
            </w:pPr>
            <w:r w:rsidRPr="0091078D">
              <w:rPr>
                <w:sz w:val="20"/>
                <w:szCs w:val="20"/>
                <w:lang w:val="fr-FR"/>
              </w:rPr>
              <w:lastRenderedPageBreak/>
              <w:t xml:space="preserve">Activité pratique souvent utilisée par l’ALDA pour affirmer des opinions, des </w:t>
            </w:r>
            <w:r w:rsidRPr="0091078D">
              <w:rPr>
                <w:sz w:val="20"/>
                <w:szCs w:val="20"/>
                <w:lang w:val="fr-FR"/>
              </w:rPr>
              <w:lastRenderedPageBreak/>
              <w:t>différences, des similitudes sur différents sujets permettant une interaction continue entre les participants. Si nécessaire, les formateurs interviendront pour que la discussion se poursuive sur le thème approprié.</w:t>
            </w:r>
          </w:p>
        </w:tc>
        <w:tc>
          <w:tcPr>
            <w:tcW w:w="1785" w:type="dxa"/>
          </w:tcPr>
          <w:p w14:paraId="5F851411" w14:textId="3798156C" w:rsidR="0091078D" w:rsidRPr="0091078D" w:rsidRDefault="0091078D" w:rsidP="0091078D">
            <w:pPr>
              <w:cnfStyle w:val="000000100000" w:firstRow="0" w:lastRow="0" w:firstColumn="0" w:lastColumn="0" w:oddVBand="0" w:evenVBand="0" w:oddHBand="1" w:evenHBand="0" w:firstRowFirstColumn="0" w:firstRowLastColumn="0" w:lastRowFirstColumn="0" w:lastRowLastColumn="0"/>
              <w:rPr>
                <w:sz w:val="20"/>
                <w:szCs w:val="20"/>
                <w:lang w:val="fr-FR"/>
              </w:rPr>
            </w:pPr>
            <w:r w:rsidRPr="0091078D">
              <w:rPr>
                <w:sz w:val="20"/>
                <w:szCs w:val="20"/>
                <w:lang w:val="fr-FR"/>
              </w:rPr>
              <w:lastRenderedPageBreak/>
              <w:t>En personne : stylos, papiers et tableau à feuilles avec marqueurs</w:t>
            </w:r>
          </w:p>
          <w:p w14:paraId="41DEFC29" w14:textId="0F5FB8B4" w:rsidR="00613C3F" w:rsidRPr="00BE42BD" w:rsidRDefault="0091078D" w:rsidP="0091078D">
            <w:pPr>
              <w:cnfStyle w:val="000000100000" w:firstRow="0" w:lastRow="0" w:firstColumn="0" w:lastColumn="0" w:oddVBand="0" w:evenVBand="0" w:oddHBand="1" w:evenHBand="0" w:firstRowFirstColumn="0" w:firstRowLastColumn="0" w:lastRowFirstColumn="0" w:lastRowLastColumn="0"/>
              <w:rPr>
                <w:sz w:val="20"/>
                <w:szCs w:val="20"/>
                <w:lang w:val="fr-FR"/>
              </w:rPr>
            </w:pPr>
            <w:r w:rsidRPr="0091078D">
              <w:rPr>
                <w:sz w:val="20"/>
                <w:szCs w:val="20"/>
                <w:lang w:val="fr-FR"/>
              </w:rPr>
              <w:lastRenderedPageBreak/>
              <w:t xml:space="preserve">En ligne: plateforme qui permet les salles de </w:t>
            </w:r>
            <w:proofErr w:type="spellStart"/>
            <w:r w:rsidRPr="0091078D">
              <w:rPr>
                <w:sz w:val="20"/>
                <w:szCs w:val="20"/>
                <w:lang w:val="fr-FR"/>
              </w:rPr>
              <w:t>breakout</w:t>
            </w:r>
            <w:proofErr w:type="spellEnd"/>
            <w:r w:rsidRPr="0091078D">
              <w:rPr>
                <w:sz w:val="20"/>
                <w:szCs w:val="20"/>
                <w:lang w:val="fr-FR"/>
              </w:rPr>
              <w:t xml:space="preserve"> et le partage d’écran</w:t>
            </w:r>
          </w:p>
        </w:tc>
      </w:tr>
      <w:tr w:rsidR="00613C3F" w:rsidRPr="00740369" w14:paraId="2E2E7B73" w14:textId="77777777" w:rsidTr="00613C3F">
        <w:tc>
          <w:tcPr>
            <w:cnfStyle w:val="001000000000" w:firstRow="0" w:lastRow="0" w:firstColumn="1" w:lastColumn="0" w:oddVBand="0" w:evenVBand="0" w:oddHBand="0" w:evenHBand="0" w:firstRowFirstColumn="0" w:firstRowLastColumn="0" w:lastRowFirstColumn="0" w:lastRowLastColumn="0"/>
            <w:tcW w:w="1410" w:type="dxa"/>
          </w:tcPr>
          <w:p w14:paraId="1D7050A7" w14:textId="286DEC31" w:rsidR="00613C3F" w:rsidRPr="00BE42BD" w:rsidRDefault="001E44BD">
            <w:pPr>
              <w:rPr>
                <w:sz w:val="20"/>
                <w:szCs w:val="20"/>
                <w:lang w:val="fr-FR"/>
              </w:rPr>
            </w:pPr>
            <w:r>
              <w:rPr>
                <w:sz w:val="20"/>
                <w:szCs w:val="20"/>
                <w:lang w:val="fr-FR"/>
              </w:rPr>
              <w:lastRenderedPageBreak/>
              <w:t xml:space="preserve">30 min </w:t>
            </w:r>
          </w:p>
        </w:tc>
        <w:tc>
          <w:tcPr>
            <w:tcW w:w="1995" w:type="dxa"/>
          </w:tcPr>
          <w:p w14:paraId="78D2EA96" w14:textId="6FB9AC3C" w:rsidR="00613C3F" w:rsidRPr="00BE42BD" w:rsidRDefault="001E44BD" w:rsidP="001E44BD">
            <w:pPr>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t xml:space="preserve">Expliquer et explorer des exemples réussis de participation citoyenne à des projets mis en œuvre pour montrer </w:t>
            </w:r>
            <w:r w:rsidRPr="001E44BD">
              <w:rPr>
                <w:sz w:val="20"/>
                <w:szCs w:val="20"/>
                <w:lang w:val="fr-FR"/>
              </w:rPr>
              <w:lastRenderedPageBreak/>
              <w:t>les points forts et l’ambition des activités de participation démocratique active.</w:t>
            </w:r>
          </w:p>
        </w:tc>
        <w:tc>
          <w:tcPr>
            <w:tcW w:w="7740" w:type="dxa"/>
          </w:tcPr>
          <w:p w14:paraId="6AA1E0EB" w14:textId="77777777" w:rsidR="001E44BD" w:rsidRPr="001E44BD" w:rsidRDefault="001E44BD" w:rsidP="001E44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lastRenderedPageBreak/>
              <w:t xml:space="preserve">Étude de cas – Exemples réussis de participation citoyenne à partir de l’expérience des formateurs. </w:t>
            </w:r>
          </w:p>
          <w:p w14:paraId="5F3E7A0D" w14:textId="77777777" w:rsidR="001E44BD" w:rsidRPr="001E44BD" w:rsidRDefault="001E44BD" w:rsidP="001E44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p w14:paraId="7ADD2706" w14:textId="77777777" w:rsidR="001E44BD" w:rsidRPr="001E44BD" w:rsidRDefault="001E44BD" w:rsidP="001E44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t>Nous pouvons présenter 4 réussites de l’expérience de l’ALDA</w:t>
            </w:r>
          </w:p>
          <w:p w14:paraId="112F1D60" w14:textId="77777777" w:rsidR="001E44BD" w:rsidRPr="001E44BD" w:rsidRDefault="001E44BD" w:rsidP="001E44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t>Brève introduction sur le travail et la mise en œuvre de 4 actions/projets différents.</w:t>
            </w:r>
          </w:p>
          <w:p w14:paraId="578699A8" w14:textId="77777777" w:rsidR="001E44BD" w:rsidRPr="001E44BD" w:rsidRDefault="001E44BD" w:rsidP="001E44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lastRenderedPageBreak/>
              <w:t xml:space="preserve">«Donner à la </w:t>
            </w:r>
            <w:proofErr w:type="spellStart"/>
            <w:r w:rsidRPr="001E44BD">
              <w:rPr>
                <w:sz w:val="20"/>
                <w:szCs w:val="20"/>
                <w:lang w:val="fr-FR"/>
              </w:rPr>
              <w:t>LA</w:t>
            </w:r>
            <w:proofErr w:type="spellEnd"/>
            <w:r w:rsidRPr="001E44BD">
              <w:rPr>
                <w:sz w:val="20"/>
                <w:szCs w:val="20"/>
                <w:lang w:val="fr-FR"/>
              </w:rPr>
              <w:t xml:space="preserve"> et à la société civile les moyens d’apporter des solutions fondées sur la démocratie participative» en Moldavie. L’autonomisation d’un mouvement de copropriétaires d’immeubles d’habitation;</w:t>
            </w:r>
          </w:p>
          <w:p w14:paraId="61C19B32" w14:textId="77777777" w:rsidR="001E44BD" w:rsidRPr="001E44BD" w:rsidRDefault="001E44BD" w:rsidP="001E44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t xml:space="preserve">«L’autonomisation du voisinage.» Relancer les conseils de quartier en stimulant la participation et les idées nouvelles. animer des groupes de travail, motiver les candidats, élaborer un programme électoral et stimuler la participation électorale pour donner une nouvelle vie à toute la ville de </w:t>
            </w:r>
            <w:proofErr w:type="spellStart"/>
            <w:r w:rsidRPr="001E44BD">
              <w:rPr>
                <w:sz w:val="20"/>
                <w:szCs w:val="20"/>
                <w:lang w:val="fr-FR"/>
              </w:rPr>
              <w:t>Schio</w:t>
            </w:r>
            <w:proofErr w:type="spellEnd"/>
            <w:r w:rsidRPr="001E44BD">
              <w:rPr>
                <w:sz w:val="20"/>
                <w:szCs w:val="20"/>
                <w:lang w:val="fr-FR"/>
              </w:rPr>
              <w:t xml:space="preserve"> (Italie);</w:t>
            </w:r>
          </w:p>
          <w:p w14:paraId="5B6BACD9" w14:textId="77777777" w:rsidR="001E44BD" w:rsidRPr="001E44BD" w:rsidRDefault="001E44BD" w:rsidP="001E44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t>«Attention.» Participation locale à la lutte contre le changement climatique. Promouvoir une approche participative pour la mise en œuvre d’initiatives et de mesures locales de rétention de l’eau face au défi du changement climatique;</w:t>
            </w:r>
          </w:p>
          <w:p w14:paraId="373D8C75" w14:textId="4CD2D8F2" w:rsidR="00613C3F" w:rsidRPr="00BE42BD" w:rsidRDefault="001E44BD" w:rsidP="001E44BD">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t>«Étincelle.» Processus participatif de requalification d’un quartier mal desservi et vulnérable.</w:t>
            </w:r>
          </w:p>
        </w:tc>
        <w:tc>
          <w:tcPr>
            <w:tcW w:w="1800" w:type="dxa"/>
          </w:tcPr>
          <w:p w14:paraId="4F424742" w14:textId="110AAC4D" w:rsidR="00613C3F" w:rsidRPr="00BE42BD" w:rsidRDefault="001E44BD">
            <w:pPr>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lastRenderedPageBreak/>
              <w:t xml:space="preserve">Mise en œuvre des concepts de participation démocratique active des citoyens aux projets. Être </w:t>
            </w:r>
            <w:r w:rsidRPr="001E44BD">
              <w:rPr>
                <w:sz w:val="20"/>
                <w:szCs w:val="20"/>
                <w:lang w:val="fr-FR"/>
              </w:rPr>
              <w:lastRenderedPageBreak/>
              <w:t>capable de trouver des similitudes et des différences par rapport à des cultures, à des géographies et à des groupes cibles différents.</w:t>
            </w:r>
          </w:p>
        </w:tc>
        <w:tc>
          <w:tcPr>
            <w:tcW w:w="1785" w:type="dxa"/>
          </w:tcPr>
          <w:p w14:paraId="5F9AF87C" w14:textId="77777777" w:rsidR="001E44BD" w:rsidRPr="001E44BD" w:rsidRDefault="001E44BD" w:rsidP="001E44BD">
            <w:pPr>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lastRenderedPageBreak/>
              <w:t xml:space="preserve">Documents officiels des gestionnaires de projet ALDA travaillant sur la mise en œuvre des projets </w:t>
            </w:r>
            <w:r w:rsidRPr="001E44BD">
              <w:rPr>
                <w:sz w:val="20"/>
                <w:szCs w:val="20"/>
                <w:lang w:val="fr-FR"/>
              </w:rPr>
              <w:lastRenderedPageBreak/>
              <w:t xml:space="preserve">désignés. Utiliser PowerPoint, signaler d’autres documents formés au cours de la mise en </w:t>
            </w:r>
            <w:proofErr w:type="spellStart"/>
            <w:r w:rsidRPr="001E44BD">
              <w:rPr>
                <w:sz w:val="20"/>
                <w:szCs w:val="20"/>
                <w:lang w:val="fr-FR"/>
              </w:rPr>
              <w:t>oeuvre</w:t>
            </w:r>
            <w:proofErr w:type="spellEnd"/>
            <w:r w:rsidRPr="001E44BD">
              <w:rPr>
                <w:sz w:val="20"/>
                <w:szCs w:val="20"/>
                <w:lang w:val="fr-FR"/>
              </w:rPr>
              <w:t xml:space="preserve"> des activités du projet.</w:t>
            </w:r>
          </w:p>
          <w:p w14:paraId="7741B0F4" w14:textId="573B9C9D" w:rsidR="00613C3F" w:rsidRPr="00BE42BD" w:rsidRDefault="001E44BD" w:rsidP="001E44BD">
            <w:pPr>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t>Vous pouvez accéder au matériel sur le site officiel de l’ALDA: https://www.alda-europe.eu/</w:t>
            </w:r>
          </w:p>
        </w:tc>
      </w:tr>
      <w:tr w:rsidR="00613C3F" w:rsidRPr="00C41E7B" w14:paraId="31D55533" w14:textId="77777777" w:rsidTr="0061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Pr>
          <w:p w14:paraId="4842B987" w14:textId="77777777" w:rsidR="00613C3F" w:rsidRPr="00BE42BD" w:rsidRDefault="00613C3F">
            <w:pPr>
              <w:rPr>
                <w:sz w:val="20"/>
                <w:szCs w:val="20"/>
                <w:lang w:val="fr-FR"/>
              </w:rPr>
            </w:pPr>
          </w:p>
        </w:tc>
        <w:tc>
          <w:tcPr>
            <w:tcW w:w="1995" w:type="dxa"/>
          </w:tcPr>
          <w:p w14:paraId="42D44636" w14:textId="77777777" w:rsidR="00613C3F" w:rsidRPr="00BE42BD" w:rsidRDefault="00613C3F">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7740" w:type="dxa"/>
          </w:tcPr>
          <w:p w14:paraId="2BA85407" w14:textId="77777777" w:rsidR="001E44BD" w:rsidRPr="001E44BD" w:rsidRDefault="001E44BD" w:rsidP="001E44BD">
            <w:pPr>
              <w:cnfStyle w:val="000000100000" w:firstRow="0" w:lastRow="0" w:firstColumn="0" w:lastColumn="0" w:oddVBand="0" w:evenVBand="0" w:oddHBand="1" w:evenHBand="0" w:firstRowFirstColumn="0" w:firstRowLastColumn="0" w:lastRowFirstColumn="0" w:lastRowLastColumn="0"/>
              <w:rPr>
                <w:sz w:val="20"/>
                <w:szCs w:val="20"/>
                <w:lang w:val="fr-FR"/>
              </w:rPr>
            </w:pPr>
            <w:r w:rsidRPr="001E44BD">
              <w:rPr>
                <w:sz w:val="20"/>
                <w:szCs w:val="20"/>
                <w:lang w:val="fr-FR"/>
              </w:rPr>
              <w:t xml:space="preserve">Compte rendu/évaluation – Comparaison de la transférabilité des concepts nouvellement acquis à la vie quotidienne et au travail. </w:t>
            </w:r>
          </w:p>
          <w:p w14:paraId="73AC5134" w14:textId="77777777" w:rsidR="001E44BD" w:rsidRPr="001E44BD" w:rsidRDefault="001E44BD" w:rsidP="001E44BD">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64965B1C" w14:textId="4596BEA7" w:rsidR="00613C3F" w:rsidRPr="00BE42BD" w:rsidRDefault="00613C3F" w:rsidP="001E44BD">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800" w:type="dxa"/>
          </w:tcPr>
          <w:p w14:paraId="773224AC" w14:textId="431CF950" w:rsidR="00613C3F" w:rsidRPr="00BE42BD" w:rsidRDefault="001E44BD" w:rsidP="001E44BD">
            <w:pPr>
              <w:cnfStyle w:val="000000100000" w:firstRow="0" w:lastRow="0" w:firstColumn="0" w:lastColumn="0" w:oddVBand="0" w:evenVBand="0" w:oddHBand="1" w:evenHBand="0" w:firstRowFirstColumn="0" w:firstRowLastColumn="0" w:lastRowFirstColumn="0" w:lastRowLastColumn="0"/>
              <w:rPr>
                <w:sz w:val="20"/>
                <w:szCs w:val="20"/>
                <w:lang w:val="fr-FR"/>
              </w:rPr>
            </w:pPr>
            <w:r w:rsidRPr="001E44BD">
              <w:rPr>
                <w:sz w:val="20"/>
                <w:szCs w:val="20"/>
                <w:lang w:val="fr-FR"/>
              </w:rPr>
              <w:t>Évaluation du contenu présenté et appris.</w:t>
            </w:r>
          </w:p>
        </w:tc>
        <w:tc>
          <w:tcPr>
            <w:tcW w:w="1785" w:type="dxa"/>
          </w:tcPr>
          <w:p w14:paraId="59B5E314" w14:textId="77777777" w:rsidR="00613C3F" w:rsidRPr="00BE42BD" w:rsidRDefault="00613C3F">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613C3F" w:rsidRPr="00C41E7B" w14:paraId="14D7C323" w14:textId="77777777" w:rsidTr="00613C3F">
        <w:tc>
          <w:tcPr>
            <w:cnfStyle w:val="001000000000" w:firstRow="0" w:lastRow="0" w:firstColumn="1" w:lastColumn="0" w:oddVBand="0" w:evenVBand="0" w:oddHBand="0" w:evenHBand="0" w:firstRowFirstColumn="0" w:firstRowLastColumn="0" w:lastRowFirstColumn="0" w:lastRowLastColumn="0"/>
            <w:tcW w:w="1410" w:type="dxa"/>
          </w:tcPr>
          <w:p w14:paraId="603264AF" w14:textId="44BCF7F4" w:rsidR="00613C3F" w:rsidRPr="00BE42BD" w:rsidRDefault="001E44BD">
            <w:pPr>
              <w:rPr>
                <w:sz w:val="20"/>
                <w:szCs w:val="20"/>
                <w:lang w:val="fr-FR"/>
              </w:rPr>
            </w:pPr>
            <w:r>
              <w:rPr>
                <w:sz w:val="20"/>
                <w:szCs w:val="20"/>
                <w:lang w:val="fr-FR"/>
              </w:rPr>
              <w:t xml:space="preserve">30 min </w:t>
            </w:r>
          </w:p>
        </w:tc>
        <w:tc>
          <w:tcPr>
            <w:tcW w:w="1995" w:type="dxa"/>
          </w:tcPr>
          <w:p w14:paraId="084D81A4" w14:textId="77777777" w:rsidR="00613C3F" w:rsidRPr="00BE42BD" w:rsidRDefault="00613C3F">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7740" w:type="dxa"/>
          </w:tcPr>
          <w:p w14:paraId="207331EB" w14:textId="535A3F6E" w:rsidR="00613C3F" w:rsidRPr="00BE42BD" w:rsidRDefault="001E44BD" w:rsidP="001E44BD">
            <w:pPr>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t>Rétroaction/évaluation – Administration d’un questionnaire sur l’évaluation du matériel, des présentations et des activités présentés par ALDA aux participants à la formation. Il constituerait une source d’amélioration et de développement pour les formateurs, pour référence future.</w:t>
            </w:r>
          </w:p>
        </w:tc>
        <w:tc>
          <w:tcPr>
            <w:tcW w:w="1800" w:type="dxa"/>
          </w:tcPr>
          <w:p w14:paraId="7E4EC6D4" w14:textId="71F1B537" w:rsidR="00613C3F" w:rsidRPr="00BE42BD" w:rsidRDefault="001E44BD" w:rsidP="001E44BD">
            <w:pPr>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t>Avis et conseils utiles pour améliorer l’interaction, le matériel et le processus de formation offerts.</w:t>
            </w:r>
          </w:p>
        </w:tc>
        <w:tc>
          <w:tcPr>
            <w:tcW w:w="1785" w:type="dxa"/>
          </w:tcPr>
          <w:p w14:paraId="60C1F7B0" w14:textId="77777777" w:rsidR="001E44BD" w:rsidRPr="001E44BD" w:rsidRDefault="001E44BD" w:rsidP="001E44BD">
            <w:pPr>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t>Questionnaire à préparer pour évaluer les informations nécessaires.</w:t>
            </w:r>
          </w:p>
          <w:p w14:paraId="2E47D589" w14:textId="0C480CC2" w:rsidR="00613C3F" w:rsidRPr="00BE42BD" w:rsidRDefault="001E44BD" w:rsidP="001E44BD">
            <w:pPr>
              <w:cnfStyle w:val="000000000000" w:firstRow="0" w:lastRow="0" w:firstColumn="0" w:lastColumn="0" w:oddVBand="0" w:evenVBand="0" w:oddHBand="0" w:evenHBand="0" w:firstRowFirstColumn="0" w:firstRowLastColumn="0" w:lastRowFirstColumn="0" w:lastRowLastColumn="0"/>
              <w:rPr>
                <w:sz w:val="20"/>
                <w:szCs w:val="20"/>
                <w:lang w:val="fr-FR"/>
              </w:rPr>
            </w:pPr>
            <w:r w:rsidRPr="001E44BD">
              <w:rPr>
                <w:sz w:val="20"/>
                <w:szCs w:val="20"/>
                <w:lang w:val="fr-FR"/>
              </w:rPr>
              <w:t>Le formulaire Google est la solution la plus simple et la plus rapide.</w:t>
            </w:r>
          </w:p>
        </w:tc>
      </w:tr>
    </w:tbl>
    <w:p w14:paraId="3465CB71" w14:textId="77777777" w:rsidR="00613C3F" w:rsidRPr="00BE42BD" w:rsidRDefault="00000000">
      <w:pPr>
        <w:jc w:val="both"/>
        <w:rPr>
          <w:sz w:val="20"/>
          <w:szCs w:val="20"/>
          <w:lang w:val="fr-FR"/>
        </w:rPr>
      </w:pPr>
      <w:r w:rsidRPr="00BE42BD">
        <w:rPr>
          <w:sz w:val="20"/>
          <w:szCs w:val="20"/>
          <w:lang w:val="fr-FR"/>
        </w:rPr>
        <w:br w:type="page"/>
      </w:r>
    </w:p>
    <w:p w14:paraId="403A6A98" w14:textId="407CAB61" w:rsidR="00613C3F" w:rsidRPr="00BE42BD" w:rsidRDefault="00316823">
      <w:pPr>
        <w:pStyle w:val="Heading1"/>
        <w:rPr>
          <w:rFonts w:cs="Arial"/>
          <w:sz w:val="20"/>
          <w:szCs w:val="20"/>
          <w:lang w:val="fr-FR"/>
        </w:rPr>
      </w:pPr>
      <w:r w:rsidRPr="00BE42BD">
        <w:rPr>
          <w:rFonts w:cs="Arial"/>
          <w:sz w:val="20"/>
          <w:szCs w:val="20"/>
          <w:lang w:val="fr-FR"/>
        </w:rPr>
        <w:lastRenderedPageBreak/>
        <w:t xml:space="preserve">Étude de cas </w:t>
      </w:r>
    </w:p>
    <w:p w14:paraId="1C181A12" w14:textId="07FC6C3F" w:rsidR="00613C3F" w:rsidRPr="00BE42BD" w:rsidRDefault="001E44BD">
      <w:pPr>
        <w:rPr>
          <w:sz w:val="20"/>
          <w:szCs w:val="20"/>
          <w:lang w:val="fr-FR"/>
        </w:rPr>
      </w:pPr>
      <w:r w:rsidRPr="001E44BD">
        <w:rPr>
          <w:sz w:val="20"/>
          <w:szCs w:val="20"/>
          <w:lang w:val="fr-FR"/>
        </w:rPr>
        <w:t>L’objectif de l’étude de cas est de donner un exemple concret des questions abordées dans le présent chapitre. Cela permet aux apprenants de comprendre de manière plus pratique.</w:t>
      </w:r>
    </w:p>
    <w:tbl>
      <w:tblPr>
        <w:tblStyle w:val="a1"/>
        <w:tblW w:w="13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1968"/>
      </w:tblGrid>
      <w:tr w:rsidR="00613C3F" w:rsidRPr="001E44BD" w14:paraId="4BA10A90" w14:textId="77777777" w:rsidTr="00613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3ACD7A3" w14:textId="05542500" w:rsidR="00613C3F" w:rsidRPr="00BE42BD" w:rsidRDefault="001E44BD">
            <w:pPr>
              <w:rPr>
                <w:sz w:val="20"/>
                <w:szCs w:val="20"/>
                <w:lang w:val="fr-FR"/>
              </w:rPr>
            </w:pPr>
            <w:r>
              <w:rPr>
                <w:sz w:val="20"/>
                <w:szCs w:val="20"/>
                <w:lang w:val="fr-FR"/>
              </w:rPr>
              <w:t xml:space="preserve">Pays </w:t>
            </w:r>
          </w:p>
        </w:tc>
        <w:tc>
          <w:tcPr>
            <w:tcW w:w="11968" w:type="dxa"/>
          </w:tcPr>
          <w:p w14:paraId="78D983C5" w14:textId="78EA1F7B" w:rsidR="00613C3F" w:rsidRPr="00BE42BD" w:rsidRDefault="001E44BD">
            <w:pPr>
              <w:cnfStyle w:val="100000000000" w:firstRow="1" w:lastRow="0" w:firstColumn="0" w:lastColumn="0" w:oddVBand="0" w:evenVBand="0" w:oddHBand="0" w:evenHBand="0" w:firstRowFirstColumn="0" w:firstRowLastColumn="0" w:lastRowFirstColumn="0" w:lastRowLastColumn="0"/>
              <w:rPr>
                <w:sz w:val="20"/>
                <w:szCs w:val="20"/>
                <w:lang w:val="fr-FR"/>
              </w:rPr>
            </w:pPr>
            <w:r>
              <w:rPr>
                <w:sz w:val="20"/>
                <w:szCs w:val="20"/>
                <w:lang w:val="fr-FR"/>
              </w:rPr>
              <w:t xml:space="preserve">Italie </w:t>
            </w:r>
          </w:p>
        </w:tc>
      </w:tr>
      <w:tr w:rsidR="00613C3F" w:rsidRPr="001E44BD" w14:paraId="7FBB9252" w14:textId="77777777" w:rsidTr="0061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1F02A9" w14:textId="7E7AF27D" w:rsidR="00613C3F" w:rsidRPr="00BE42BD" w:rsidRDefault="001E44BD">
            <w:pPr>
              <w:rPr>
                <w:sz w:val="20"/>
                <w:szCs w:val="20"/>
                <w:lang w:val="fr-FR"/>
              </w:rPr>
            </w:pPr>
            <w:r>
              <w:rPr>
                <w:sz w:val="20"/>
                <w:szCs w:val="20"/>
                <w:lang w:val="fr-FR"/>
              </w:rPr>
              <w:t xml:space="preserve">Titre </w:t>
            </w:r>
          </w:p>
        </w:tc>
        <w:tc>
          <w:tcPr>
            <w:tcW w:w="11968" w:type="dxa"/>
          </w:tcPr>
          <w:p w14:paraId="4CB6111E" w14:textId="640F80D8" w:rsidR="00613C3F" w:rsidRPr="00BE42BD" w:rsidRDefault="00B96C94">
            <w:pPr>
              <w:cnfStyle w:val="000000100000" w:firstRow="0" w:lastRow="0" w:firstColumn="0" w:lastColumn="0" w:oddVBand="0" w:evenVBand="0" w:oddHBand="1" w:evenHBand="0" w:firstRowFirstColumn="0" w:firstRowLastColumn="0" w:lastRowFirstColumn="0" w:lastRowLastColumn="0"/>
              <w:rPr>
                <w:b/>
                <w:sz w:val="20"/>
                <w:szCs w:val="20"/>
                <w:lang w:val="fr-FR"/>
              </w:rPr>
            </w:pPr>
            <w:r>
              <w:rPr>
                <w:b/>
                <w:bCs/>
                <w:color w:val="000000"/>
              </w:rPr>
              <w:t>Gruppo Scintilla (Spark)</w:t>
            </w:r>
          </w:p>
        </w:tc>
      </w:tr>
      <w:tr w:rsidR="00613C3F" w:rsidRPr="00C41E7B" w14:paraId="1633E21A" w14:textId="77777777" w:rsidTr="00613C3F">
        <w:tc>
          <w:tcPr>
            <w:cnfStyle w:val="001000000000" w:firstRow="0" w:lastRow="0" w:firstColumn="1" w:lastColumn="0" w:oddVBand="0" w:evenVBand="0" w:oddHBand="0" w:evenHBand="0" w:firstRowFirstColumn="0" w:firstRowLastColumn="0" w:lastRowFirstColumn="0" w:lastRowLastColumn="0"/>
            <w:tcW w:w="1980" w:type="dxa"/>
          </w:tcPr>
          <w:p w14:paraId="59E95F9B" w14:textId="073FB3D4" w:rsidR="00613C3F" w:rsidRPr="00BE42BD" w:rsidRDefault="00B96C94">
            <w:pPr>
              <w:rPr>
                <w:sz w:val="20"/>
                <w:szCs w:val="20"/>
                <w:lang w:val="fr-FR"/>
              </w:rPr>
            </w:pPr>
            <w:r>
              <w:rPr>
                <w:sz w:val="20"/>
                <w:szCs w:val="20"/>
                <w:lang w:val="fr-FR"/>
              </w:rPr>
              <w:t xml:space="preserve">Organisation </w:t>
            </w:r>
          </w:p>
        </w:tc>
        <w:tc>
          <w:tcPr>
            <w:tcW w:w="11968" w:type="dxa"/>
          </w:tcPr>
          <w:p w14:paraId="6905950C" w14:textId="1E73B3C7" w:rsidR="00613C3F" w:rsidRPr="00BE42BD" w:rsidRDefault="00B96C94">
            <w:pPr>
              <w:cnfStyle w:val="000000000000" w:firstRow="0" w:lastRow="0" w:firstColumn="0" w:lastColumn="0" w:oddVBand="0" w:evenVBand="0" w:oddHBand="0" w:evenHBand="0" w:firstRowFirstColumn="0" w:firstRowLastColumn="0" w:lastRowFirstColumn="0" w:lastRowLastColumn="0"/>
              <w:rPr>
                <w:sz w:val="20"/>
                <w:szCs w:val="20"/>
                <w:lang w:val="fr-FR"/>
              </w:rPr>
            </w:pPr>
            <w:r w:rsidRPr="00B96C94">
              <w:rPr>
                <w:sz w:val="20"/>
                <w:szCs w:val="20"/>
                <w:lang w:val="fr-FR"/>
              </w:rPr>
              <w:t>ALDA – Association Européenne pour la Démocratie Locale</w:t>
            </w:r>
          </w:p>
        </w:tc>
      </w:tr>
      <w:tr w:rsidR="00613C3F" w:rsidRPr="00C41E7B" w14:paraId="6BDD7063" w14:textId="77777777" w:rsidTr="0061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75B2C5" w14:textId="3B47F086" w:rsidR="00613C3F" w:rsidRPr="00BE42BD" w:rsidRDefault="00B96C94">
            <w:pPr>
              <w:rPr>
                <w:sz w:val="20"/>
                <w:szCs w:val="20"/>
                <w:lang w:val="fr-FR"/>
              </w:rPr>
            </w:pPr>
            <w:r>
              <w:rPr>
                <w:b w:val="0"/>
                <w:bCs/>
                <w:color w:val="000000"/>
              </w:rPr>
              <w:t>Sources</w:t>
            </w:r>
          </w:p>
        </w:tc>
        <w:tc>
          <w:tcPr>
            <w:tcW w:w="11968" w:type="dxa"/>
          </w:tcPr>
          <w:p w14:paraId="415819AA" w14:textId="09B08A5A" w:rsidR="00613C3F" w:rsidRPr="00BE42BD" w:rsidRDefault="00B96C94">
            <w:pPr>
              <w:pBdr>
                <w:top w:val="nil"/>
                <w:left w:val="nil"/>
                <w:bottom w:val="nil"/>
                <w:right w:val="nil"/>
                <w:between w:val="nil"/>
              </w:pBdr>
              <w:spacing w:before="240" w:after="240" w:line="259" w:lineRule="auto"/>
              <w:cnfStyle w:val="000000100000" w:firstRow="0" w:lastRow="0" w:firstColumn="0" w:lastColumn="0" w:oddVBand="0" w:evenVBand="0" w:oddHBand="1" w:evenHBand="0" w:firstRowFirstColumn="0" w:firstRowLastColumn="0" w:lastRowFirstColumn="0" w:lastRowLastColumn="0"/>
              <w:rPr>
                <w:color w:val="000000"/>
                <w:sz w:val="20"/>
                <w:szCs w:val="20"/>
                <w:lang w:val="fr-FR"/>
              </w:rPr>
            </w:pPr>
            <w:r w:rsidRPr="00B96C94">
              <w:rPr>
                <w:color w:val="000000"/>
                <w:sz w:val="20"/>
                <w:szCs w:val="20"/>
                <w:lang w:val="fr-FR"/>
              </w:rPr>
              <w:t>Matériel recueilli par l’ALDA à partir du travail de Nadia pendant la mise en œuvre (en cours) du projet. Matériel produit par des manifestations, des groupes de réflexion et des échanges avec les protagonistes (citoyens) et les autorités locales.</w:t>
            </w:r>
          </w:p>
        </w:tc>
      </w:tr>
      <w:tr w:rsidR="00613C3F" w:rsidRPr="00C41E7B" w14:paraId="2459236B" w14:textId="77777777" w:rsidTr="00613C3F">
        <w:tc>
          <w:tcPr>
            <w:cnfStyle w:val="001000000000" w:firstRow="0" w:lastRow="0" w:firstColumn="1" w:lastColumn="0" w:oddVBand="0" w:evenVBand="0" w:oddHBand="0" w:evenHBand="0" w:firstRowFirstColumn="0" w:firstRowLastColumn="0" w:lastRowFirstColumn="0" w:lastRowLastColumn="0"/>
            <w:tcW w:w="1980" w:type="dxa"/>
          </w:tcPr>
          <w:p w14:paraId="292D79CE" w14:textId="346C4E77" w:rsidR="00613C3F" w:rsidRPr="00BE42BD" w:rsidRDefault="00B96C94">
            <w:pPr>
              <w:rPr>
                <w:sz w:val="20"/>
                <w:szCs w:val="20"/>
                <w:lang w:val="fr-FR"/>
              </w:rPr>
            </w:pPr>
            <w:r w:rsidRPr="00B96C94">
              <w:rPr>
                <w:sz w:val="20"/>
                <w:szCs w:val="20"/>
                <w:lang w:val="fr-FR"/>
              </w:rPr>
              <w:t>Quels sont les buts et objectifs de l’étude de cas?</w:t>
            </w:r>
          </w:p>
        </w:tc>
        <w:tc>
          <w:tcPr>
            <w:tcW w:w="11968" w:type="dxa"/>
          </w:tcPr>
          <w:p w14:paraId="50A6A6C8" w14:textId="4BB1EE13" w:rsidR="00613C3F" w:rsidRPr="00BE42BD" w:rsidRDefault="00B96C94">
            <w:pPr>
              <w:pBdr>
                <w:top w:val="nil"/>
                <w:left w:val="nil"/>
                <w:bottom w:val="nil"/>
                <w:right w:val="nil"/>
                <w:between w:val="nil"/>
              </w:pBdr>
              <w:spacing w:before="240" w:after="240" w:line="259" w:lineRule="auto"/>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B96C94">
              <w:rPr>
                <w:sz w:val="20"/>
                <w:szCs w:val="20"/>
                <w:lang w:val="fr-FR"/>
              </w:rPr>
              <w:t xml:space="preserve">Le Gruppo Scintilla (Groupe Spark) est un processus participatif impliquant les habitants d’un quartier de Vicence (IT) dans le processus de décision concernant son avenir. Le projet est axé sur un quartier très multiethnique situé à proximité de la gare centrale, confronté à de graves problèmes d’intégration sociale et de trafic illicite. Le point de départ d’un processus participatif est la </w:t>
            </w:r>
            <w:proofErr w:type="spellStart"/>
            <w:r w:rsidRPr="00B96C94">
              <w:rPr>
                <w:sz w:val="20"/>
                <w:szCs w:val="20"/>
                <w:lang w:val="fr-FR"/>
              </w:rPr>
              <w:t>co-conception</w:t>
            </w:r>
            <w:proofErr w:type="spellEnd"/>
            <w:r w:rsidRPr="00B96C94">
              <w:rPr>
                <w:sz w:val="20"/>
                <w:szCs w:val="20"/>
                <w:lang w:val="fr-FR"/>
              </w:rPr>
              <w:t xml:space="preserve"> d’une vision commune de l’avenir du quartier, impliquant les citoyens dans le processus de </w:t>
            </w:r>
            <w:proofErr w:type="spellStart"/>
            <w:r w:rsidRPr="00B96C94">
              <w:rPr>
                <w:sz w:val="20"/>
                <w:szCs w:val="20"/>
                <w:lang w:val="fr-FR"/>
              </w:rPr>
              <w:t>co-conception</w:t>
            </w:r>
            <w:proofErr w:type="spellEnd"/>
            <w:r w:rsidRPr="00B96C94">
              <w:rPr>
                <w:sz w:val="20"/>
                <w:szCs w:val="20"/>
                <w:lang w:val="fr-FR"/>
              </w:rPr>
              <w:t xml:space="preserve"> et mettant en œuvre des activités dans le quartier. L’objectif est d’accroître le sens de la communauté et du dialogue local entre les citoyens et les acteurs locaux impliqués qui auront la possibilité de signer une pétition pour la requalification du quartier.</w:t>
            </w:r>
          </w:p>
        </w:tc>
      </w:tr>
      <w:tr w:rsidR="00613C3F" w:rsidRPr="001E44BD" w14:paraId="630BBEC5" w14:textId="77777777" w:rsidTr="0061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BDE7F6" w14:textId="77777777" w:rsidR="00B96C94" w:rsidRPr="00B96C94" w:rsidRDefault="00B96C94" w:rsidP="00B96C94">
            <w:pPr>
              <w:rPr>
                <w:iCs/>
                <w:sz w:val="20"/>
                <w:szCs w:val="20"/>
                <w:lang w:val="fr-FR"/>
              </w:rPr>
            </w:pPr>
            <w:r w:rsidRPr="00B96C94">
              <w:rPr>
                <w:iCs/>
                <w:sz w:val="20"/>
                <w:szCs w:val="20"/>
                <w:lang w:val="fr-FR"/>
              </w:rPr>
              <w:t>Faits saillants</w:t>
            </w:r>
          </w:p>
          <w:p w14:paraId="3347F553" w14:textId="3D787639" w:rsidR="00613C3F" w:rsidRPr="00BC35C8" w:rsidRDefault="00B96C94" w:rsidP="00B96C94">
            <w:pPr>
              <w:rPr>
                <w:b w:val="0"/>
                <w:bCs/>
                <w:i/>
                <w:sz w:val="20"/>
                <w:szCs w:val="20"/>
                <w:lang w:val="fr-FR"/>
              </w:rPr>
            </w:pPr>
            <w:r w:rsidRPr="00BC35C8">
              <w:rPr>
                <w:b w:val="0"/>
                <w:bCs/>
                <w:i/>
                <w:sz w:val="20"/>
                <w:szCs w:val="20"/>
                <w:lang w:val="fr-FR"/>
              </w:rPr>
              <w:t>6 ou 7 points clés qui donnent un aperçu très rapide du contenu.</w:t>
            </w:r>
          </w:p>
        </w:tc>
        <w:tc>
          <w:tcPr>
            <w:tcW w:w="11968" w:type="dxa"/>
          </w:tcPr>
          <w:p w14:paraId="4075FE79" w14:textId="77777777" w:rsidR="00B96C94" w:rsidRPr="00B96C94" w:rsidRDefault="00B96C94" w:rsidP="00B96C9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lang w:val="fr-FR"/>
              </w:rPr>
            </w:pPr>
            <w:r w:rsidRPr="00B96C94">
              <w:rPr>
                <w:sz w:val="20"/>
                <w:szCs w:val="20"/>
                <w:lang w:val="fr-FR"/>
              </w:rPr>
              <w:t>1 – quartier très multiethnique confronté à des problèmes liés à l’intégration sociale et au trafic illégal</w:t>
            </w:r>
          </w:p>
          <w:p w14:paraId="09B03570" w14:textId="77777777" w:rsidR="00B96C94" w:rsidRPr="00B96C94" w:rsidRDefault="00B96C94" w:rsidP="00B96C9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lang w:val="fr-FR"/>
              </w:rPr>
            </w:pPr>
            <w:r w:rsidRPr="00B96C94">
              <w:rPr>
                <w:sz w:val="20"/>
                <w:szCs w:val="20"/>
                <w:lang w:val="fr-FR"/>
              </w:rPr>
              <w:t>2 – processus participatif dans le processus de prise de décision. Conception conjointe d’une vision partagée</w:t>
            </w:r>
          </w:p>
          <w:p w14:paraId="47FEB61F" w14:textId="77777777" w:rsidR="00B96C94" w:rsidRPr="00B96C94" w:rsidRDefault="00B96C94" w:rsidP="00B96C9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lang w:val="fr-FR"/>
              </w:rPr>
            </w:pPr>
            <w:r w:rsidRPr="00B96C94">
              <w:rPr>
                <w:sz w:val="20"/>
                <w:szCs w:val="20"/>
                <w:lang w:val="fr-FR"/>
              </w:rPr>
              <w:t>3 – Consultations publiques et participation des citoyens</w:t>
            </w:r>
          </w:p>
          <w:p w14:paraId="119D9217" w14:textId="77777777" w:rsidR="00B96C94" w:rsidRPr="00B96C94" w:rsidRDefault="00B96C94" w:rsidP="00B96C9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lang w:val="fr-FR"/>
              </w:rPr>
            </w:pPr>
            <w:r w:rsidRPr="00B96C94">
              <w:rPr>
                <w:sz w:val="20"/>
                <w:szCs w:val="20"/>
                <w:lang w:val="fr-FR"/>
              </w:rPr>
              <w:t>4 – Groupes de travail et initiatives pour améliorer la vie des habitants du quartier et leur sentiment d’appartenance</w:t>
            </w:r>
          </w:p>
          <w:p w14:paraId="64FA3320" w14:textId="77777777" w:rsidR="00B96C94" w:rsidRPr="00B96C94" w:rsidRDefault="00B96C94" w:rsidP="00B96C9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lang w:val="fr-FR"/>
              </w:rPr>
            </w:pPr>
            <w:r w:rsidRPr="00B96C94">
              <w:rPr>
                <w:sz w:val="20"/>
                <w:szCs w:val="20"/>
                <w:lang w:val="fr-FR"/>
              </w:rPr>
              <w:t>5 – Impact sur la communauté et les relations avec les autorités locales</w:t>
            </w:r>
          </w:p>
          <w:p w14:paraId="6A9B4DFC" w14:textId="6D884A5C" w:rsidR="00613C3F" w:rsidRPr="00BE42BD" w:rsidRDefault="00B96C94" w:rsidP="00B96C94">
            <w:pPr>
              <w:pBdr>
                <w:top w:val="nil"/>
                <w:left w:val="nil"/>
                <w:bottom w:val="nil"/>
                <w:right w:val="nil"/>
                <w:between w:val="nil"/>
              </w:pBdr>
              <w:spacing w:before="240" w:after="240" w:line="259" w:lineRule="auto"/>
              <w:cnfStyle w:val="000000100000" w:firstRow="0" w:lastRow="0" w:firstColumn="0" w:lastColumn="0" w:oddVBand="0" w:evenVBand="0" w:oddHBand="1" w:evenHBand="0" w:firstRowFirstColumn="0" w:firstRowLastColumn="0" w:lastRowFirstColumn="0" w:lastRowLastColumn="0"/>
              <w:rPr>
                <w:sz w:val="20"/>
                <w:szCs w:val="20"/>
                <w:lang w:val="fr-FR"/>
              </w:rPr>
            </w:pPr>
            <w:r w:rsidRPr="00B96C94">
              <w:rPr>
                <w:sz w:val="20"/>
                <w:szCs w:val="20"/>
                <w:lang w:val="fr-FR"/>
              </w:rPr>
              <w:t>6 – LE LIEU D’ÊTRE</w:t>
            </w:r>
          </w:p>
        </w:tc>
      </w:tr>
      <w:tr w:rsidR="00613C3F" w:rsidRPr="00740369" w14:paraId="5B22A119" w14:textId="77777777" w:rsidTr="00613C3F">
        <w:tc>
          <w:tcPr>
            <w:cnfStyle w:val="001000000000" w:firstRow="0" w:lastRow="0" w:firstColumn="1" w:lastColumn="0" w:oddVBand="0" w:evenVBand="0" w:oddHBand="0" w:evenHBand="0" w:firstRowFirstColumn="0" w:firstRowLastColumn="0" w:lastRowFirstColumn="0" w:lastRowLastColumn="0"/>
            <w:tcW w:w="1980" w:type="dxa"/>
          </w:tcPr>
          <w:p w14:paraId="130E33DF" w14:textId="77777777" w:rsidR="00613C3F" w:rsidRDefault="00BC35C8">
            <w:pPr>
              <w:rPr>
                <w:b w:val="0"/>
                <w:iCs/>
                <w:sz w:val="20"/>
                <w:szCs w:val="20"/>
                <w:lang w:val="fr-FR"/>
              </w:rPr>
            </w:pPr>
            <w:r w:rsidRPr="00BC35C8">
              <w:rPr>
                <w:iCs/>
                <w:sz w:val="20"/>
                <w:szCs w:val="20"/>
                <w:lang w:val="fr-FR"/>
              </w:rPr>
              <w:t>Description détaillée de l’étude de cas choisie</w:t>
            </w:r>
          </w:p>
          <w:p w14:paraId="56041156" w14:textId="77777777" w:rsidR="00BC35C8" w:rsidRDefault="00BC35C8">
            <w:pPr>
              <w:rPr>
                <w:b w:val="0"/>
                <w:iCs/>
                <w:sz w:val="20"/>
                <w:szCs w:val="20"/>
                <w:lang w:val="fr-FR"/>
              </w:rPr>
            </w:pPr>
          </w:p>
          <w:p w14:paraId="7912AAAB" w14:textId="59061344" w:rsidR="00BC35C8" w:rsidRPr="00BC35C8" w:rsidRDefault="00BC35C8">
            <w:pPr>
              <w:rPr>
                <w:b w:val="0"/>
                <w:bCs/>
                <w:i/>
                <w:sz w:val="20"/>
                <w:szCs w:val="20"/>
                <w:lang w:val="fr-FR"/>
              </w:rPr>
            </w:pPr>
            <w:r w:rsidRPr="00BC35C8">
              <w:rPr>
                <w:b w:val="0"/>
                <w:bCs/>
                <w:i/>
                <w:sz w:val="20"/>
                <w:szCs w:val="20"/>
                <w:lang w:val="fr-FR"/>
              </w:rPr>
              <w:t>Et pourquoi avez-vous choisi cette étude de cas</w:t>
            </w:r>
          </w:p>
        </w:tc>
        <w:tc>
          <w:tcPr>
            <w:tcW w:w="11968" w:type="dxa"/>
          </w:tcPr>
          <w:p w14:paraId="263776B6" w14:textId="77777777" w:rsidR="00BC35C8" w:rsidRPr="00BC35C8" w:rsidRDefault="00BC35C8" w:rsidP="00BC35C8">
            <w:pPr>
              <w:cnfStyle w:val="000000000000" w:firstRow="0" w:lastRow="0" w:firstColumn="0" w:lastColumn="0" w:oddVBand="0" w:evenVBand="0" w:oddHBand="0" w:evenHBand="0" w:firstRowFirstColumn="0" w:firstRowLastColumn="0" w:lastRowFirstColumn="0" w:lastRowLastColumn="0"/>
              <w:rPr>
                <w:sz w:val="20"/>
                <w:szCs w:val="20"/>
                <w:lang w:val="fr-FR"/>
              </w:rPr>
            </w:pPr>
            <w:r w:rsidRPr="00BC35C8">
              <w:rPr>
                <w:sz w:val="20"/>
                <w:szCs w:val="20"/>
                <w:lang w:val="fr-FR"/>
              </w:rPr>
              <w:t xml:space="preserve">Le processus participatif vise à réaménager un quartier mal desservi et vulnérable de </w:t>
            </w:r>
            <w:proofErr w:type="spellStart"/>
            <w:r w:rsidRPr="00BC35C8">
              <w:rPr>
                <w:sz w:val="20"/>
                <w:szCs w:val="20"/>
                <w:lang w:val="fr-FR"/>
              </w:rPr>
              <w:t>Vicenza</w:t>
            </w:r>
            <w:proofErr w:type="spellEnd"/>
            <w:r w:rsidRPr="00BC35C8">
              <w:rPr>
                <w:sz w:val="20"/>
                <w:szCs w:val="20"/>
                <w:lang w:val="fr-FR"/>
              </w:rPr>
              <w:t>. D’une part, une série de consultations publiques ont été organisées dans le but de définir les problèmes, de recueillir des propositions en vue d’une solution possible et de développer le sentiment d’appartenance et de responsabilité des citoyens vis-à-vis du problème. Par ailleurs, plusieurs initiatives locales ont été organisées pour améliorer à court terme la vie des habitants du quartier et créer un sentiment de communauté (manifestations pour les enfants, fêtes intergénérationnelles impliquant des entreprises locales, cours de théâtre, initiatives de budgétisation participative, etc.).</w:t>
            </w:r>
          </w:p>
          <w:p w14:paraId="60D15E7C" w14:textId="38D1EE72" w:rsidR="00613C3F" w:rsidRPr="00BE42BD" w:rsidRDefault="00BC35C8" w:rsidP="00BC35C8">
            <w:pPr>
              <w:cnfStyle w:val="000000000000" w:firstRow="0" w:lastRow="0" w:firstColumn="0" w:lastColumn="0" w:oddVBand="0" w:evenVBand="0" w:oddHBand="0" w:evenHBand="0" w:firstRowFirstColumn="0" w:firstRowLastColumn="0" w:lastRowFirstColumn="0" w:lastRowLastColumn="0"/>
              <w:rPr>
                <w:sz w:val="20"/>
                <w:szCs w:val="20"/>
                <w:lang w:val="fr-FR"/>
              </w:rPr>
            </w:pPr>
            <w:r w:rsidRPr="00BC35C8">
              <w:rPr>
                <w:sz w:val="20"/>
                <w:szCs w:val="20"/>
                <w:lang w:val="fr-FR"/>
              </w:rPr>
              <w:lastRenderedPageBreak/>
              <w:t>Le processus a mis en évidence les difficultés du quartier (sécurité, circulation et délabrement urbain) mais aussi les grandes opportunités (lieu de vie et de passage, multiethnicité, contexte urbain, quartier alimentaire et lieux d’excellence) et propose d’orienter le destin de ce quartier vers: perspective.</w:t>
            </w:r>
          </w:p>
        </w:tc>
      </w:tr>
      <w:tr w:rsidR="00613C3F" w:rsidRPr="00C41E7B" w14:paraId="16DB8D16" w14:textId="77777777" w:rsidTr="0061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A8B250E" w14:textId="7A75A6E8" w:rsidR="00613C3F" w:rsidRPr="00BE42BD" w:rsidRDefault="00BC35C8">
            <w:pPr>
              <w:tabs>
                <w:tab w:val="left" w:pos="1504"/>
              </w:tabs>
              <w:rPr>
                <w:sz w:val="20"/>
                <w:szCs w:val="20"/>
                <w:lang w:val="fr-FR"/>
              </w:rPr>
            </w:pPr>
            <w:r w:rsidRPr="00BC35C8">
              <w:rPr>
                <w:sz w:val="20"/>
                <w:szCs w:val="20"/>
                <w:lang w:val="fr-FR"/>
              </w:rPr>
              <w:lastRenderedPageBreak/>
              <w:t>Décrire l'impact local, régional, national et international</w:t>
            </w:r>
          </w:p>
        </w:tc>
        <w:tc>
          <w:tcPr>
            <w:tcW w:w="11968" w:type="dxa"/>
          </w:tcPr>
          <w:p w14:paraId="27197649" w14:textId="34BB7714" w:rsidR="00613C3F" w:rsidRPr="00BE42BD" w:rsidRDefault="00BC35C8">
            <w:pPr>
              <w:cnfStyle w:val="000000100000" w:firstRow="0" w:lastRow="0" w:firstColumn="0" w:lastColumn="0" w:oddVBand="0" w:evenVBand="0" w:oddHBand="1" w:evenHBand="0" w:firstRowFirstColumn="0" w:firstRowLastColumn="0" w:lastRowFirstColumn="0" w:lastRowLastColumn="0"/>
              <w:rPr>
                <w:sz w:val="20"/>
                <w:szCs w:val="20"/>
                <w:lang w:val="fr-FR"/>
              </w:rPr>
            </w:pPr>
            <w:r w:rsidRPr="00BC35C8">
              <w:rPr>
                <w:sz w:val="20"/>
                <w:szCs w:val="20"/>
                <w:lang w:val="fr-FR"/>
              </w:rPr>
              <w:t>Impact local: le projet met en lumière les endroits et les entreprises qui apportent une valeur ajoutée à la zone et à la ville dans son ensemble, transformant ainsi une stigmatisation négative de la zone en une stigmatisation positive. Il servira de carte, non seulement « commerciale », mais aussi sociale, à la recherche des atouts du quartier.</w:t>
            </w:r>
          </w:p>
        </w:tc>
      </w:tr>
      <w:tr w:rsidR="00613C3F" w:rsidRPr="00C41E7B" w14:paraId="7488CAC7" w14:textId="77777777" w:rsidTr="00613C3F">
        <w:trPr>
          <w:trHeight w:val="3346"/>
        </w:trPr>
        <w:tc>
          <w:tcPr>
            <w:cnfStyle w:val="001000000000" w:firstRow="0" w:lastRow="0" w:firstColumn="1" w:lastColumn="0" w:oddVBand="0" w:evenVBand="0" w:oddHBand="0" w:evenHBand="0" w:firstRowFirstColumn="0" w:firstRowLastColumn="0" w:lastRowFirstColumn="0" w:lastRowLastColumn="0"/>
            <w:tcW w:w="1980" w:type="dxa"/>
          </w:tcPr>
          <w:p w14:paraId="49E630C6" w14:textId="77777777" w:rsidR="00BC35C8" w:rsidRPr="00BC35C8" w:rsidRDefault="00BC35C8" w:rsidP="00BC35C8">
            <w:pPr>
              <w:tabs>
                <w:tab w:val="left" w:pos="1504"/>
              </w:tabs>
              <w:rPr>
                <w:iCs/>
                <w:sz w:val="20"/>
                <w:szCs w:val="20"/>
                <w:lang w:val="fr-FR"/>
              </w:rPr>
            </w:pPr>
            <w:r w:rsidRPr="00BC35C8">
              <w:rPr>
                <w:iCs/>
                <w:sz w:val="20"/>
                <w:szCs w:val="20"/>
                <w:lang w:val="fr-FR"/>
              </w:rPr>
              <w:t>Pour conclure</w:t>
            </w:r>
          </w:p>
          <w:p w14:paraId="101D18E9" w14:textId="1EE9EA02" w:rsidR="00613C3F" w:rsidRPr="00BE42BD" w:rsidRDefault="00BC35C8" w:rsidP="00BC35C8">
            <w:pPr>
              <w:tabs>
                <w:tab w:val="left" w:pos="1504"/>
              </w:tabs>
              <w:rPr>
                <w:i/>
                <w:sz w:val="20"/>
                <w:szCs w:val="20"/>
                <w:lang w:val="fr-FR"/>
              </w:rPr>
            </w:pPr>
            <w:r w:rsidRPr="00BC35C8">
              <w:rPr>
                <w:i/>
                <w:sz w:val="20"/>
                <w:szCs w:val="20"/>
                <w:lang w:val="fr-FR"/>
              </w:rPr>
              <w:t>Comment pensez-vous que votre recherche pourrait être utilisée par les praticiens et quels avantages pourrait-elle apporter aux collectivités locales, aux professionnels et aux groupes cibles?</w:t>
            </w:r>
          </w:p>
        </w:tc>
        <w:tc>
          <w:tcPr>
            <w:tcW w:w="11968" w:type="dxa"/>
          </w:tcPr>
          <w:p w14:paraId="4C4A47B1" w14:textId="77777777" w:rsidR="00BC35C8" w:rsidRPr="00BC35C8" w:rsidRDefault="00BC35C8" w:rsidP="00BC35C8">
            <w:pPr>
              <w:cnfStyle w:val="000000000000" w:firstRow="0" w:lastRow="0" w:firstColumn="0" w:lastColumn="0" w:oddVBand="0" w:evenVBand="0" w:oddHBand="0" w:evenHBand="0" w:firstRowFirstColumn="0" w:firstRowLastColumn="0" w:lastRowFirstColumn="0" w:lastRowLastColumn="0"/>
              <w:rPr>
                <w:sz w:val="20"/>
                <w:szCs w:val="20"/>
                <w:lang w:val="fr-FR"/>
              </w:rPr>
            </w:pPr>
            <w:r w:rsidRPr="00BC35C8">
              <w:rPr>
                <w:sz w:val="20"/>
                <w:szCs w:val="20"/>
                <w:lang w:val="fr-FR"/>
              </w:rPr>
              <w:t>Nous pensons qu’il est important de porter à votre attention le projet Scintilla (Spark) car il représente un exemple parfait de processus participatif et d’implication des citoyens dans le processus de prise de décision. Le projet est né d’une forte nécessité sociale, émotionnelle et économique de la part des habitants du quartier milanais de Vicence.</w:t>
            </w:r>
          </w:p>
          <w:p w14:paraId="58AD36AE" w14:textId="77777777" w:rsidR="00BC35C8" w:rsidRPr="00BC35C8" w:rsidRDefault="00BC35C8" w:rsidP="00BC35C8">
            <w:pPr>
              <w:cnfStyle w:val="000000000000" w:firstRow="0" w:lastRow="0" w:firstColumn="0" w:lastColumn="0" w:oddVBand="0" w:evenVBand="0" w:oddHBand="0" w:evenHBand="0" w:firstRowFirstColumn="0" w:firstRowLastColumn="0" w:lastRowFirstColumn="0" w:lastRowLastColumn="0"/>
              <w:rPr>
                <w:sz w:val="20"/>
                <w:szCs w:val="20"/>
                <w:lang w:val="fr-FR"/>
              </w:rPr>
            </w:pPr>
            <w:r w:rsidRPr="00BC35C8">
              <w:rPr>
                <w:sz w:val="20"/>
                <w:szCs w:val="20"/>
                <w:lang w:val="fr-FR"/>
              </w:rPr>
              <w:t>Scintilla explique clairement comment les organisations locales, les autorités locales et/ou les citoyens peuvent prendre en charge les problèmes de leur communauté et créer une cohésion pour trouver des solutions harmonieuses.</w:t>
            </w:r>
          </w:p>
          <w:p w14:paraId="081798D7" w14:textId="77777777" w:rsidR="00BC35C8" w:rsidRPr="00BC35C8" w:rsidRDefault="00BC35C8" w:rsidP="00BC35C8">
            <w:pPr>
              <w:cnfStyle w:val="000000000000" w:firstRow="0" w:lastRow="0" w:firstColumn="0" w:lastColumn="0" w:oddVBand="0" w:evenVBand="0" w:oddHBand="0" w:evenHBand="0" w:firstRowFirstColumn="0" w:firstRowLastColumn="0" w:lastRowFirstColumn="0" w:lastRowLastColumn="0"/>
              <w:rPr>
                <w:sz w:val="20"/>
                <w:szCs w:val="20"/>
                <w:lang w:val="fr-FR"/>
              </w:rPr>
            </w:pPr>
            <w:r w:rsidRPr="00BC35C8">
              <w:rPr>
                <w:sz w:val="20"/>
                <w:szCs w:val="20"/>
                <w:lang w:val="fr-FR"/>
              </w:rPr>
              <w:t xml:space="preserve">Le processus de </w:t>
            </w:r>
            <w:proofErr w:type="spellStart"/>
            <w:r w:rsidRPr="00BC35C8">
              <w:rPr>
                <w:sz w:val="20"/>
                <w:szCs w:val="20"/>
                <w:lang w:val="fr-FR"/>
              </w:rPr>
              <w:t>co-conception</w:t>
            </w:r>
            <w:proofErr w:type="spellEnd"/>
            <w:r w:rsidRPr="00BC35C8">
              <w:rPr>
                <w:sz w:val="20"/>
                <w:szCs w:val="20"/>
                <w:lang w:val="fr-FR"/>
              </w:rPr>
              <w:t xml:space="preserve"> et de consultation publique peut être une excellente illustration d’une méthodologie participative capable d’accueillir des personnes d’horizons sociaux, culturels et économiques différents.</w:t>
            </w:r>
          </w:p>
          <w:p w14:paraId="0C4F2B9A" w14:textId="77777777" w:rsidR="00BC35C8" w:rsidRPr="00BC35C8" w:rsidRDefault="00BC35C8" w:rsidP="00BC35C8">
            <w:pPr>
              <w:cnfStyle w:val="000000000000" w:firstRow="0" w:lastRow="0" w:firstColumn="0" w:lastColumn="0" w:oddVBand="0" w:evenVBand="0" w:oddHBand="0" w:evenHBand="0" w:firstRowFirstColumn="0" w:firstRowLastColumn="0" w:lastRowFirstColumn="0" w:lastRowLastColumn="0"/>
              <w:rPr>
                <w:sz w:val="20"/>
                <w:szCs w:val="20"/>
                <w:lang w:val="fr-FR"/>
              </w:rPr>
            </w:pPr>
            <w:r w:rsidRPr="00BC35C8">
              <w:rPr>
                <w:sz w:val="20"/>
                <w:szCs w:val="20"/>
                <w:lang w:val="fr-FR"/>
              </w:rPr>
              <w:t>La capacité de concilier les intérêts de la communauté et ceux de l’administration locale sera une étape délicate du processus mais, si elle est fondée sur des bases solides, elle apportera une grande valeur ajoutée.</w:t>
            </w:r>
          </w:p>
          <w:p w14:paraId="39405850" w14:textId="54486EF6" w:rsidR="00613C3F" w:rsidRPr="00BE42BD" w:rsidRDefault="00BC35C8" w:rsidP="00BC35C8">
            <w:pPr>
              <w:cnfStyle w:val="000000000000" w:firstRow="0" w:lastRow="0" w:firstColumn="0" w:lastColumn="0" w:oddVBand="0" w:evenVBand="0" w:oddHBand="0" w:evenHBand="0" w:firstRowFirstColumn="0" w:firstRowLastColumn="0" w:lastRowFirstColumn="0" w:lastRowLastColumn="0"/>
              <w:rPr>
                <w:sz w:val="20"/>
                <w:szCs w:val="20"/>
                <w:lang w:val="fr-FR"/>
              </w:rPr>
            </w:pPr>
            <w:r w:rsidRPr="00BC35C8">
              <w:rPr>
                <w:sz w:val="20"/>
                <w:szCs w:val="20"/>
                <w:lang w:val="fr-FR"/>
              </w:rPr>
              <w:t>Le plus grand bénéfice que tous les acteurs (communautés, professionnels et groupes cibles) peuvent tirer de cette recherche est la prise de conscience que les processus participatifs permettent de faire une différence dans leurs communautés.</w:t>
            </w:r>
          </w:p>
        </w:tc>
      </w:tr>
    </w:tbl>
    <w:p w14:paraId="0637CB56" w14:textId="77777777" w:rsidR="00613C3F" w:rsidRPr="00BE42BD" w:rsidRDefault="00613C3F" w:rsidP="00316823">
      <w:pPr>
        <w:rPr>
          <w:sz w:val="20"/>
          <w:szCs w:val="20"/>
          <w:lang w:val="fr-FR"/>
        </w:rPr>
      </w:pPr>
    </w:p>
    <w:sectPr w:rsidR="00613C3F" w:rsidRPr="00BE42BD">
      <w:headerReference w:type="default" r:id="rId9"/>
      <w:footerReference w:type="default" r:id="rId10"/>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AE5B" w14:textId="77777777" w:rsidR="00E95D8F" w:rsidRDefault="00E95D8F">
      <w:pPr>
        <w:spacing w:before="0" w:after="0" w:line="240" w:lineRule="auto"/>
      </w:pPr>
      <w:r>
        <w:separator/>
      </w:r>
    </w:p>
  </w:endnote>
  <w:endnote w:type="continuationSeparator" w:id="0">
    <w:p w14:paraId="730F08D6" w14:textId="77777777" w:rsidR="00E95D8F" w:rsidRDefault="00E95D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B389" w14:textId="77777777" w:rsidR="00613C3F" w:rsidRDefault="00000000">
    <w:pPr>
      <w:pBdr>
        <w:top w:val="nil"/>
        <w:left w:val="nil"/>
        <w:bottom w:val="nil"/>
        <w:right w:val="nil"/>
        <w:between w:val="nil"/>
      </w:pBdr>
      <w:tabs>
        <w:tab w:val="center" w:pos="4513"/>
        <w:tab w:val="right" w:pos="9026"/>
      </w:tabs>
      <w:spacing w:before="0" w:after="0" w:line="240" w:lineRule="auto"/>
      <w:rPr>
        <w:color w:val="000000"/>
      </w:rPr>
    </w:pPr>
    <w:r>
      <w:rPr>
        <w:noProof/>
        <w:color w:val="000000"/>
      </w:rPr>
      <w:drawing>
        <wp:inline distT="0" distB="0" distL="0" distR="0" wp14:anchorId="659072D0" wp14:editId="71918281">
          <wp:extent cx="982973" cy="481658"/>
          <wp:effectExtent l="0" t="0" r="0" b="0"/>
          <wp:docPr id="16"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
                  <a:srcRect/>
                  <a:stretch>
                    <a:fillRect/>
                  </a:stretch>
                </pic:blipFill>
                <pic:spPr>
                  <a:xfrm>
                    <a:off x="0" y="0"/>
                    <a:ext cx="982973" cy="481658"/>
                  </a:xfrm>
                  <a:prstGeom prst="rect">
                    <a:avLst/>
                  </a:prstGeom>
                  <a:ln/>
                </pic:spPr>
              </pic:pic>
            </a:graphicData>
          </a:graphic>
        </wp:inline>
      </w:drawing>
    </w:r>
    <w:r>
      <w:rPr>
        <w:color w:val="000000"/>
      </w:rPr>
      <w:t xml:space="preserve">                  </w:t>
    </w:r>
    <w:r>
      <w:rPr>
        <w:noProof/>
        <w:color w:val="000000"/>
      </w:rPr>
      <w:drawing>
        <wp:inline distT="0" distB="0" distL="0" distR="0" wp14:anchorId="7648931C" wp14:editId="594089F0">
          <wp:extent cx="1427375" cy="451980"/>
          <wp:effectExtent l="0" t="0" r="0" b="0"/>
          <wp:docPr id="19"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2"/>
                  <a:srcRect b="19366"/>
                  <a:stretch>
                    <a:fillRect/>
                  </a:stretch>
                </pic:blipFill>
                <pic:spPr>
                  <a:xfrm>
                    <a:off x="0" y="0"/>
                    <a:ext cx="1427375" cy="451980"/>
                  </a:xfrm>
                  <a:prstGeom prst="rect">
                    <a:avLst/>
                  </a:prstGeom>
                  <a:ln/>
                </pic:spPr>
              </pic:pic>
            </a:graphicData>
          </a:graphic>
        </wp:inline>
      </w:drawing>
    </w:r>
    <w:r>
      <w:rPr>
        <w:color w:val="000000"/>
      </w:rPr>
      <w:t xml:space="preserve">                    </w:t>
    </w:r>
    <w:r>
      <w:rPr>
        <w:noProof/>
        <w:color w:val="000000"/>
      </w:rPr>
      <w:drawing>
        <wp:inline distT="0" distB="0" distL="0" distR="0" wp14:anchorId="1BF8A444" wp14:editId="2CC283A5">
          <wp:extent cx="640211" cy="425470"/>
          <wp:effectExtent l="0" t="0" r="0" b="0"/>
          <wp:docPr id="18" name="image5.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text&#10;&#10;Description automatically generated"/>
                  <pic:cNvPicPr preferRelativeResize="0"/>
                </pic:nvPicPr>
                <pic:blipFill>
                  <a:blip r:embed="rId3"/>
                  <a:srcRect l="17203" t="19118" r="17462" b="19475"/>
                  <a:stretch>
                    <a:fillRect/>
                  </a:stretch>
                </pic:blipFill>
                <pic:spPr>
                  <a:xfrm>
                    <a:off x="0" y="0"/>
                    <a:ext cx="640211" cy="425470"/>
                  </a:xfrm>
                  <a:prstGeom prst="rect">
                    <a:avLst/>
                  </a:prstGeom>
                  <a:ln/>
                </pic:spPr>
              </pic:pic>
            </a:graphicData>
          </a:graphic>
        </wp:inline>
      </w:drawing>
    </w:r>
    <w:r>
      <w:rPr>
        <w:color w:val="000000"/>
      </w:rPr>
      <w:t xml:space="preserve">                      </w:t>
    </w:r>
    <w:r>
      <w:rPr>
        <w:noProof/>
        <w:color w:val="000000"/>
      </w:rPr>
      <w:drawing>
        <wp:inline distT="0" distB="0" distL="0" distR="0" wp14:anchorId="3D411A99" wp14:editId="05A62844">
          <wp:extent cx="1500404" cy="407371"/>
          <wp:effectExtent l="0" t="0" r="0" b="0"/>
          <wp:docPr id="2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pic:cNvPicPr preferRelativeResize="0"/>
                </pic:nvPicPr>
                <pic:blipFill>
                  <a:blip r:embed="rId4"/>
                  <a:srcRect l="2472" t="8966" r="3282" b="9753"/>
                  <a:stretch>
                    <a:fillRect/>
                  </a:stretch>
                </pic:blipFill>
                <pic:spPr>
                  <a:xfrm>
                    <a:off x="0" y="0"/>
                    <a:ext cx="1500404" cy="407371"/>
                  </a:xfrm>
                  <a:prstGeom prst="rect">
                    <a:avLst/>
                  </a:prstGeom>
                  <a:ln/>
                </pic:spPr>
              </pic:pic>
            </a:graphicData>
          </a:graphic>
        </wp:inline>
      </w:drawing>
    </w:r>
    <w:r>
      <w:rPr>
        <w:color w:val="000000"/>
      </w:rPr>
      <w:t xml:space="preserve">                    </w:t>
    </w:r>
    <w:r>
      <w:rPr>
        <w:noProof/>
        <w:color w:val="000000"/>
      </w:rPr>
      <w:drawing>
        <wp:inline distT="0" distB="0" distL="0" distR="0" wp14:anchorId="52637385" wp14:editId="4C53A5B5">
          <wp:extent cx="983648" cy="495540"/>
          <wp:effectExtent l="0" t="0" r="0" b="0"/>
          <wp:docPr id="20" name="image6.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Logo, company name&#10;&#10;Description automatically generated"/>
                  <pic:cNvPicPr preferRelativeResize="0"/>
                </pic:nvPicPr>
                <pic:blipFill>
                  <a:blip r:embed="rId5"/>
                  <a:srcRect t="25250" r="750" b="24750"/>
                  <a:stretch>
                    <a:fillRect/>
                  </a:stretch>
                </pic:blipFill>
                <pic:spPr>
                  <a:xfrm>
                    <a:off x="0" y="0"/>
                    <a:ext cx="983648" cy="49554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3D79" w14:textId="77777777" w:rsidR="00E95D8F" w:rsidRDefault="00E95D8F">
      <w:pPr>
        <w:spacing w:before="0" w:after="0" w:line="240" w:lineRule="auto"/>
      </w:pPr>
      <w:r>
        <w:separator/>
      </w:r>
    </w:p>
  </w:footnote>
  <w:footnote w:type="continuationSeparator" w:id="0">
    <w:p w14:paraId="74798F93" w14:textId="77777777" w:rsidR="00E95D8F" w:rsidRDefault="00E95D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DB23" w14:textId="77777777" w:rsidR="00613C3F" w:rsidRDefault="00000000">
    <w:pPr>
      <w:pBdr>
        <w:top w:val="nil"/>
        <w:left w:val="nil"/>
        <w:bottom w:val="nil"/>
        <w:right w:val="nil"/>
        <w:between w:val="nil"/>
      </w:pBdr>
      <w:tabs>
        <w:tab w:val="center" w:pos="4513"/>
        <w:tab w:val="right" w:pos="9026"/>
      </w:tabs>
      <w:spacing w:before="0" w:after="0" w:line="240" w:lineRule="auto"/>
      <w:rPr>
        <w:color w:val="000000"/>
      </w:rPr>
    </w:pPr>
    <w:r>
      <w:rPr>
        <w:noProof/>
        <w:color w:val="000000"/>
      </w:rPr>
      <w:drawing>
        <wp:inline distT="0" distB="0" distL="0" distR="0" wp14:anchorId="4E25F053" wp14:editId="20817606">
          <wp:extent cx="2487267" cy="529587"/>
          <wp:effectExtent l="0" t="0" r="0" b="0"/>
          <wp:docPr id="15" name="image2.pn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screenshot of a video game&#10;&#10;Description automatically generated with medium confidence"/>
                  <pic:cNvPicPr preferRelativeResize="0"/>
                </pic:nvPicPr>
                <pic:blipFill>
                  <a:blip r:embed="rId1"/>
                  <a:srcRect t="28944" b="30926"/>
                  <a:stretch>
                    <a:fillRect/>
                  </a:stretch>
                </pic:blipFill>
                <pic:spPr>
                  <a:xfrm>
                    <a:off x="0" y="0"/>
                    <a:ext cx="2487267" cy="529587"/>
                  </a:xfrm>
                  <a:prstGeom prst="rect">
                    <a:avLst/>
                  </a:prstGeom>
                  <a:ln/>
                </pic:spPr>
              </pic:pic>
            </a:graphicData>
          </a:graphic>
        </wp:inline>
      </w:drawing>
    </w:r>
    <w:r>
      <w:rPr>
        <w:color w:val="000000"/>
      </w:rPr>
      <w:t xml:space="preserve">                                                                                             </w:t>
    </w:r>
    <w:r>
      <w:rPr>
        <w:noProof/>
        <w:color w:val="000000"/>
      </w:rPr>
      <w:drawing>
        <wp:inline distT="0" distB="0" distL="0" distR="0" wp14:anchorId="21997DCD" wp14:editId="187BEF1A">
          <wp:extent cx="2655964" cy="605634"/>
          <wp:effectExtent l="0" t="0" r="0" b="0"/>
          <wp:docPr id="17" name="image4.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 text, application&#10;&#10;Description automatically generated"/>
                  <pic:cNvPicPr preferRelativeResize="0"/>
                </pic:nvPicPr>
                <pic:blipFill>
                  <a:blip r:embed="rId2"/>
                  <a:srcRect l="3536" t="12375" r="3513" b="13442"/>
                  <a:stretch>
                    <a:fillRect/>
                  </a:stretch>
                </pic:blipFill>
                <pic:spPr>
                  <a:xfrm>
                    <a:off x="0" y="0"/>
                    <a:ext cx="2655964" cy="6056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42E7"/>
    <w:multiLevelType w:val="multilevel"/>
    <w:tmpl w:val="ADFE9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48189F"/>
    <w:multiLevelType w:val="multilevel"/>
    <w:tmpl w:val="7C7E7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47130C"/>
    <w:multiLevelType w:val="multilevel"/>
    <w:tmpl w:val="E1C2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A20754"/>
    <w:multiLevelType w:val="multilevel"/>
    <w:tmpl w:val="A810FF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3062469"/>
    <w:multiLevelType w:val="hybridMultilevel"/>
    <w:tmpl w:val="F434FD80"/>
    <w:lvl w:ilvl="0" w:tplc="F536DF9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5F7A62"/>
    <w:multiLevelType w:val="multilevel"/>
    <w:tmpl w:val="A26A5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A01F81"/>
    <w:multiLevelType w:val="multilevel"/>
    <w:tmpl w:val="8B723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6805013">
    <w:abstractNumId w:val="5"/>
  </w:num>
  <w:num w:numId="2" w16cid:durableId="1381323107">
    <w:abstractNumId w:val="6"/>
  </w:num>
  <w:num w:numId="3" w16cid:durableId="1715349177">
    <w:abstractNumId w:val="1"/>
  </w:num>
  <w:num w:numId="4" w16cid:durableId="1071545335">
    <w:abstractNumId w:val="3"/>
  </w:num>
  <w:num w:numId="5" w16cid:durableId="357585799">
    <w:abstractNumId w:val="2"/>
  </w:num>
  <w:num w:numId="6" w16cid:durableId="1859394694">
    <w:abstractNumId w:val="0"/>
  </w:num>
  <w:num w:numId="7" w16cid:durableId="1106927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3F"/>
    <w:rsid w:val="00055264"/>
    <w:rsid w:val="001B5129"/>
    <w:rsid w:val="001C37FA"/>
    <w:rsid w:val="001E44BD"/>
    <w:rsid w:val="002071A4"/>
    <w:rsid w:val="00316823"/>
    <w:rsid w:val="004E5B57"/>
    <w:rsid w:val="005969F9"/>
    <w:rsid w:val="00613C3F"/>
    <w:rsid w:val="006208A2"/>
    <w:rsid w:val="00740369"/>
    <w:rsid w:val="007853BD"/>
    <w:rsid w:val="0091078D"/>
    <w:rsid w:val="0098489C"/>
    <w:rsid w:val="00A90AC7"/>
    <w:rsid w:val="00AF47C4"/>
    <w:rsid w:val="00B30A8D"/>
    <w:rsid w:val="00B5197F"/>
    <w:rsid w:val="00B96C94"/>
    <w:rsid w:val="00BC35C8"/>
    <w:rsid w:val="00BE42BD"/>
    <w:rsid w:val="00C41E7B"/>
    <w:rsid w:val="00CE6EBC"/>
    <w:rsid w:val="00E95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FC5F"/>
  <w15:docId w15:val="{9C4768CD-2CA2-45A9-9A5C-656E52BA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spacing w:before="240"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24"/>
  </w:style>
  <w:style w:type="paragraph" w:styleId="Heading1">
    <w:name w:val="heading 1"/>
    <w:basedOn w:val="Normal"/>
    <w:next w:val="Normal"/>
    <w:link w:val="Heading1Char"/>
    <w:uiPriority w:val="9"/>
    <w:qFormat/>
    <w:rsid w:val="00793424"/>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793424"/>
    <w:pPr>
      <w:keepNext/>
      <w:keepLines/>
      <w:outlineLvl w:val="1"/>
    </w:pPr>
    <w:rPr>
      <w:rFonts w:eastAsiaTheme="majorEastAsia" w:cstheme="majorBidi"/>
      <w:b/>
      <w:i/>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93424"/>
    <w:pPr>
      <w:keepNext/>
      <w:keepLines/>
      <w:spacing w:before="480" w:after="120"/>
    </w:pPr>
    <w:rPr>
      <w:b/>
      <w:sz w:val="36"/>
      <w:szCs w:val="72"/>
    </w:rPr>
  </w:style>
  <w:style w:type="character" w:customStyle="1" w:styleId="Heading1Char">
    <w:name w:val="Heading 1 Char"/>
    <w:basedOn w:val="DefaultParagraphFont"/>
    <w:link w:val="Heading1"/>
    <w:uiPriority w:val="9"/>
    <w:rsid w:val="00793424"/>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793424"/>
    <w:rPr>
      <w:rFonts w:ascii="Arial" w:eastAsiaTheme="majorEastAsia" w:hAnsi="Arial" w:cstheme="majorBidi"/>
      <w:b/>
      <w:i/>
      <w:sz w:val="28"/>
      <w:szCs w:val="26"/>
    </w:rPr>
  </w:style>
  <w:style w:type="paragraph" w:styleId="Header">
    <w:name w:val="header"/>
    <w:basedOn w:val="Normal"/>
    <w:link w:val="HeaderChar"/>
    <w:uiPriority w:val="99"/>
    <w:unhideWhenUsed/>
    <w:rsid w:val="00F0330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03306"/>
    <w:rPr>
      <w:rFonts w:ascii="Times New Roman" w:hAnsi="Times New Roman"/>
      <w:sz w:val="24"/>
    </w:rPr>
  </w:style>
  <w:style w:type="paragraph" w:styleId="Footer">
    <w:name w:val="footer"/>
    <w:basedOn w:val="Normal"/>
    <w:link w:val="FooterChar"/>
    <w:uiPriority w:val="99"/>
    <w:unhideWhenUsed/>
    <w:rsid w:val="00F0330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03306"/>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934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A54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D3A3B"/>
    <w:pPr>
      <w:ind w:left="720"/>
      <w:contextualSpacing/>
    </w:pPr>
  </w:style>
  <w:style w:type="table" w:customStyle="1" w:styleId="a">
    <w:basedOn w:val="Table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B30A8D"/>
    <w:rPr>
      <w:color w:val="0563C1" w:themeColor="hyperlink"/>
      <w:u w:val="single"/>
    </w:rPr>
  </w:style>
  <w:style w:type="character" w:styleId="UnresolvedMention">
    <w:name w:val="Unresolved Mention"/>
    <w:basedOn w:val="DefaultParagraphFont"/>
    <w:uiPriority w:val="99"/>
    <w:semiHidden/>
    <w:unhideWhenUsed/>
    <w:rsid w:val="00B3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38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og.vantagecircle.com/zoom-icebreak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0722ly4DkxYUEg3Q/6y0fMjwmA==">AMUW2mVyAGzNnmA2wd2qZDO9U+aLm48qOUxRNRy1BADwmCJap3JAsK32TQU76AlXI+OwxXPEhvBVYhtK2YwN4Sj3zHTk0YbMiwUaMfWgNQtmNXo6lCSWDks=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Yosef</dc:creator>
  <cp:lastModifiedBy>Office ALDA 3</cp:lastModifiedBy>
  <cp:revision>2</cp:revision>
  <dcterms:created xsi:type="dcterms:W3CDTF">2022-10-31T10:59:00Z</dcterms:created>
  <dcterms:modified xsi:type="dcterms:W3CDTF">2022-10-31T10:59:00Z</dcterms:modified>
</cp:coreProperties>
</file>